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567C32" w:rsidP="00EA4719">
                            <w:pPr>
                              <w:pStyle w:val="NoSpacing"/>
                              <w:jc w:val="center"/>
                              <w:rPr>
                                <w:b/>
                                <w:sz w:val="24"/>
                                <w:szCs w:val="24"/>
                              </w:rPr>
                            </w:pPr>
                            <w:r>
                              <w:rPr>
                                <w:b/>
                                <w:sz w:val="24"/>
                                <w:szCs w:val="24"/>
                              </w:rPr>
                              <w:t>May 13,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EA4719" w:rsidRDefault="00EA4719" w:rsidP="00EA4719">
                            <w:pPr>
                              <w:pStyle w:val="NoSpacing"/>
                              <w:jc w:val="center"/>
                              <w:rPr>
                                <w:b/>
                                <w:sz w:val="24"/>
                                <w:szCs w:val="24"/>
                              </w:rPr>
                            </w:pPr>
                            <w:r w:rsidRPr="00A16A11">
                              <w:rPr>
                                <w:b/>
                                <w:sz w:val="24"/>
                                <w:szCs w:val="24"/>
                              </w:rPr>
                              <w:t>Claiborne</w:t>
                            </w:r>
                            <w:r>
                              <w:rPr>
                                <w:b/>
                                <w:sz w:val="24"/>
                                <w:szCs w:val="24"/>
                              </w:rPr>
                              <w:t xml:space="preserve"> Building, Room 1-</w:t>
                            </w:r>
                            <w:r w:rsidR="00E46ECE">
                              <w:rPr>
                                <w:b/>
                                <w:sz w:val="24"/>
                                <w:szCs w:val="24"/>
                              </w:rPr>
                              <w:t>142 Montana Room</w:t>
                            </w:r>
                            <w:bookmarkStart w:id="0" w:name="_GoBack"/>
                            <w:bookmarkEnd w:id="0"/>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567C32" w:rsidP="00EA4719">
                      <w:pPr>
                        <w:pStyle w:val="NoSpacing"/>
                        <w:jc w:val="center"/>
                        <w:rPr>
                          <w:b/>
                          <w:sz w:val="24"/>
                          <w:szCs w:val="24"/>
                        </w:rPr>
                      </w:pPr>
                      <w:r>
                        <w:rPr>
                          <w:b/>
                          <w:sz w:val="24"/>
                          <w:szCs w:val="24"/>
                        </w:rPr>
                        <w:t>May 13,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EA4719" w:rsidRDefault="00EA4719" w:rsidP="00EA4719">
                      <w:pPr>
                        <w:pStyle w:val="NoSpacing"/>
                        <w:jc w:val="center"/>
                        <w:rPr>
                          <w:b/>
                          <w:sz w:val="24"/>
                          <w:szCs w:val="24"/>
                        </w:rPr>
                      </w:pPr>
                      <w:r w:rsidRPr="00A16A11">
                        <w:rPr>
                          <w:b/>
                          <w:sz w:val="24"/>
                          <w:szCs w:val="24"/>
                        </w:rPr>
                        <w:t>Claiborne</w:t>
                      </w:r>
                      <w:r>
                        <w:rPr>
                          <w:b/>
                          <w:sz w:val="24"/>
                          <w:szCs w:val="24"/>
                        </w:rPr>
                        <w:t xml:space="preserve"> Building, Room 1-</w:t>
                      </w:r>
                      <w:r w:rsidR="00E46ECE">
                        <w:rPr>
                          <w:b/>
                          <w:sz w:val="24"/>
                          <w:szCs w:val="24"/>
                        </w:rPr>
                        <w:t>142 Montana Room</w:t>
                      </w:r>
                      <w:bookmarkStart w:id="1" w:name="_GoBack"/>
                      <w:bookmarkEnd w:id="1"/>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567C32" w:rsidRPr="00567C32" w:rsidRDefault="00567C32" w:rsidP="00567C32">
      <w:pPr>
        <w:pStyle w:val="ListParagraph"/>
        <w:numPr>
          <w:ilvl w:val="0"/>
          <w:numId w:val="13"/>
        </w:numPr>
        <w:rPr>
          <w:b/>
        </w:rPr>
      </w:pPr>
      <w:r w:rsidRPr="00567C32">
        <w:rPr>
          <w:b/>
        </w:rPr>
        <w:t xml:space="preserve">Approve April CCAB Minutes </w:t>
      </w:r>
    </w:p>
    <w:p w:rsidR="00A16A11" w:rsidRPr="00567C32" w:rsidRDefault="00A16A11" w:rsidP="00A16A11">
      <w:pPr>
        <w:pStyle w:val="NoSpacing"/>
      </w:pPr>
    </w:p>
    <w:p w:rsidR="00A16A11" w:rsidRPr="00567C32" w:rsidRDefault="00A16A11" w:rsidP="00A16A11">
      <w:pPr>
        <w:pStyle w:val="NoSpacing"/>
        <w:rPr>
          <w:i/>
        </w:rPr>
      </w:pPr>
      <w:r w:rsidRPr="00567C32">
        <w:rPr>
          <w:i/>
          <w:noProof/>
        </w:rPr>
        <mc:AlternateContent>
          <mc:Choice Requires="wps">
            <w:drawing>
              <wp:anchor distT="0" distB="0" distL="114300" distR="114300" simplePos="0" relativeHeight="251660288" behindDoc="0" locked="0" layoutInCell="1" allowOverlap="1" wp14:anchorId="4106D008" wp14:editId="3D67A6DC">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4C27FA" w:rsidRDefault="00567C32" w:rsidP="00A16A11">
      <w:pPr>
        <w:pStyle w:val="NoSpacing"/>
        <w:numPr>
          <w:ilvl w:val="0"/>
          <w:numId w:val="10"/>
        </w:numPr>
      </w:pPr>
      <w:r w:rsidRPr="00567C32">
        <w:t>Strategic Plan Updates—Conversations/work since April CCAB Meeting</w:t>
      </w:r>
    </w:p>
    <w:p w:rsidR="00567C32" w:rsidRPr="00567C32" w:rsidRDefault="00567C32" w:rsidP="00A16A11">
      <w:pPr>
        <w:pStyle w:val="NoSpacing"/>
        <w:numPr>
          <w:ilvl w:val="0"/>
          <w:numId w:val="10"/>
        </w:numPr>
      </w:pPr>
      <w:r>
        <w:t xml:space="preserve">Child Well Being Summit Update and Next Steps </w:t>
      </w:r>
    </w:p>
    <w:p w:rsidR="00A16A11" w:rsidRPr="00567C32" w:rsidRDefault="00A16A11" w:rsidP="00A16A11">
      <w:pPr>
        <w:pStyle w:val="NoSpacing"/>
      </w:pPr>
    </w:p>
    <w:p w:rsidR="00A16A11" w:rsidRPr="00567C32" w:rsidRDefault="00A16A11" w:rsidP="00A16A11">
      <w:pPr>
        <w:pStyle w:val="NoSpacing"/>
      </w:pPr>
      <w:r w:rsidRPr="00567C32">
        <w:rPr>
          <w:noProof/>
        </w:rPr>
        <mc:AlternateContent>
          <mc:Choice Requires="wps">
            <w:drawing>
              <wp:anchor distT="0" distB="0" distL="114300" distR="114300" simplePos="0" relativeHeight="251661312" behindDoc="0" locked="0" layoutInCell="1" allowOverlap="1" wp14:anchorId="4C792B99" wp14:editId="5F8A7914">
                <wp:simplePos x="0" y="0"/>
                <wp:positionH relativeFrom="column">
                  <wp:posOffset>281940</wp:posOffset>
                </wp:positionH>
                <wp:positionV relativeFrom="paragraph">
                  <wp:posOffset>140484</wp:posOffset>
                </wp:positionV>
                <wp:extent cx="5904230" cy="496110"/>
                <wp:effectExtent l="57150" t="38100" r="77470" b="94615"/>
                <wp:wrapNone/>
                <wp:docPr id="3" name="Text Box 3"/>
                <wp:cNvGraphicFramePr/>
                <a:graphic xmlns:a="http://schemas.openxmlformats.org/drawingml/2006/main">
                  <a:graphicData uri="http://schemas.microsoft.com/office/word/2010/wordprocessingShape">
                    <wps:wsp>
                      <wps:cNvSpPr txBox="1"/>
                      <wps:spPr>
                        <a:xfrm>
                          <a:off x="0" y="0"/>
                          <a:ext cx="5904230" cy="496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2pt;margin-top:11.05pt;width:464.9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WkcwIAADYFAAAOAAAAZHJzL2Uyb0RvYy54bWysVN9P2zAQfp+0/8Hy+0hTChsVKepATJMQ&#10;oMHEs+vYNJrt8+xrk+6v5+w0ATG0SdNeEvvuu1/f3fn0rLOGbVWIDbiKlwcTzpSTUDfuseLf7y8/&#10;fOIsonC1MOBUxXcq8rPF+3enrZ+rKazB1CowcuLivPUVXyP6eVFEuVZWxAPwypFSQ7AC6RoeizqI&#10;lrxbU0wnk+OihVD7AFLFSNKLXskX2b/WSuKN1lEhMxWn3DB/Q/6u0rdYnIr5YxB+3ch9GuIfsrCi&#10;cRR0dHUhULBNaH5zZRsZIILGAwm2AK0bqXINVE05eVXN3Vp4lWshcqIfaYr/z6283t4G1tQVP+TM&#10;CUstulcdss/QscPETuvjnEB3nmDYkZi6PMgjCVPRnQ42/akcRnrieTdym5xJEh6dTGbTQ1JJ0s1O&#10;jssyk188W/sQ8YsCy9Kh4oF6lykV26uIlAlBB0gKZlySpfT6NPIJd0b1ym9KU1k52yTIA6XOTWBb&#10;QaMgpFQOc4Hk1jhCJ5RujBkNpzn6Hw33+GSq8rCNxuXfjUeLHBkcjsa2cRDeclD/yNxTyrrHDwz0&#10;dScKsFt1uZ/ToUsrqHfUvAD98EcvLxti+EpEvBWBpp2aQhuMN/TRBtqKw/7E2RrCr7fkCU9DSFrO&#10;WtqeisefGxEUZ+aro/E8KWeztG75Mjv6OKVLeKlZvdS4jT0H6kpJb4WX+ZjwaIajDmAfaNGXKSqp&#10;hJMUu+I4HM+x32l6KKRaLjOIFswLvHJ3XibXieU0P/fdgwh+P2RI43kNw56J+atZ67HJ0sFyg6Cb&#10;PIiJ557VPf+0nHk+9w9J2v6X94x6fu4WTwAAAP//AwBQSwMEFAAGAAgAAAAhAHrpJ9fdAAAACQEA&#10;AA8AAABkcnMvZG93bnJldi54bWxMj0FOwzAQRfdI3MEaJHbUjhW1EOJUqJQFCxaUHMCJhyQiHkex&#10;26acnmEFy9F/+v9NuV38KE44xyGQgWylQCC1wQ3UGag/Xu7uQcRkydkxEBq4YIRtdX1V2sKFM73j&#10;6ZA6wSUUC2ugT2kqpIxtj97GVZiQOPsMs7eJz7mTbrZnLvej1EqtpbcD8UJvJ9z12H4djt7A67rO&#10;0vdbo3e0kZfueb/3NdbG3N4sT48gEi7pD4ZffVaHip2acCQXxWggz3MmDWidgeD8YZNrEA2DSmmQ&#10;VSn/f1D9AAAA//8DAFBLAQItABQABgAIAAAAIQC2gziS/gAAAOEBAAATAAAAAAAAAAAAAAAAAAAA&#10;AABbQ29udGVudF9UeXBlc10ueG1sUEsBAi0AFAAGAAgAAAAhADj9If/WAAAAlAEAAAsAAAAAAAAA&#10;AAAAAAAALwEAAF9yZWxzLy5yZWxzUEsBAi0AFAAGAAgAAAAhAJ6GpaRzAgAANgUAAA4AAAAAAAAA&#10;AAAAAAAALgIAAGRycy9lMm9Eb2MueG1sUEsBAi0AFAAGAAgAAAAhAHrpJ9fdAAAACQEAAA8AAAAA&#10;AAAAAAAAAAAAzQ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v:textbox>
              </v:shape>
            </w:pict>
          </mc:Fallback>
        </mc:AlternateContent>
      </w:r>
    </w:p>
    <w:p w:rsidR="00A16A11" w:rsidRPr="00567C32" w:rsidRDefault="00A16A11" w:rsidP="00A16A11">
      <w:pPr>
        <w:pStyle w:val="NoSpacing"/>
      </w:pPr>
    </w:p>
    <w:p w:rsidR="00A16A11" w:rsidRPr="00567C32" w:rsidRDefault="00A16A11" w:rsidP="00A16A11">
      <w:pPr>
        <w:pStyle w:val="NoSpacing"/>
      </w:pPr>
    </w:p>
    <w:p w:rsidR="004C27FA" w:rsidRPr="00567C32" w:rsidRDefault="004C27FA" w:rsidP="00A16A11">
      <w:pPr>
        <w:pStyle w:val="NoSpacing"/>
        <w:rPr>
          <w:i/>
        </w:rPr>
      </w:pPr>
    </w:p>
    <w:p w:rsidR="00EA4719" w:rsidRPr="00567C32" w:rsidRDefault="00EA4719"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AA2FC4" w:rsidRPr="00567C32" w:rsidRDefault="00AA2FC4" w:rsidP="00EA4719">
      <w:pPr>
        <w:pStyle w:val="NoSpacing"/>
        <w:numPr>
          <w:ilvl w:val="0"/>
          <w:numId w:val="12"/>
        </w:numPr>
      </w:pPr>
      <w:r w:rsidRPr="00567C32">
        <w:t xml:space="preserve">Discuss legislation of interest </w:t>
      </w:r>
    </w:p>
    <w:p w:rsidR="00EA4719" w:rsidRPr="00567C32" w:rsidRDefault="00EA4719" w:rsidP="00EA4719">
      <w:pPr>
        <w:pStyle w:val="NoSpacing"/>
      </w:pPr>
    </w:p>
    <w:p w:rsidR="00EA4719" w:rsidRPr="00567C32" w:rsidRDefault="00EA4719" w:rsidP="00567C32">
      <w:pPr>
        <w:pStyle w:val="NoSpacing"/>
        <w:numPr>
          <w:ilvl w:val="0"/>
          <w:numId w:val="13"/>
        </w:numPr>
        <w:rPr>
          <w:b/>
        </w:rPr>
      </w:pPr>
      <w:r w:rsidRPr="00567C32">
        <w:rPr>
          <w:b/>
        </w:rPr>
        <w:t xml:space="preserve">Public Comments/Announcements </w:t>
      </w: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ucgIAADcFAAAOAAAAZHJzL2Uyb0RvYy54bWysVN9v2yAQfp+0/wHxvjpO03SJ6lRZqk6T&#10;qrZaMvWZYKitAceAxM7++h3YcaOu2qRpLxjuvvv13Z2vrlutyF44X4MpaH42okQYDmVtngv6bXP7&#10;4SMlPjBTMgVGFPQgPL1evH931di5GEMFqhSOoBPj540taBWCnWeZ55XQzJ+BFQaVEpxmAZ/uOSsd&#10;a9C7Vtl4NJpmDbjSOuDCe5TedEq6SP6lFDw8SOlFIKqgmFtIp0vnNp7Z4orNnx2zVc37NNg/ZKFZ&#10;bTDo4OqGBUZ2rv7Nla65Aw8ynHHQGUhZc5FqwGry0atq1hWzItWC5Hg70OT/n1t+v390pC6xd5QY&#10;prFFG9EG8glakkd2GuvnCFpbhIUWxRHZyz0KY9GtdDp+sRyCeuT5MHAbnXEUTkezWX55QQlHXT45&#10;n01nk+gnezG3zofPAjSJl4I6bF7ilO3vfOigR0iMpkyUxfy6PNItHJTolF+FxLpSulGQJkqslCN7&#10;hrPAOBcmTPsMlEF0RMlaqcFwnKL/0bDHR1ORpm0wzv9uPFikyGDCYKxrA+4tB+X3RD6SJjv8kYGu&#10;7khBaLdtauj5sU1bKA/YPQfd9HvLb2tk+I758Mgcjjs2DFc4POAhFTQFhf5GSQXu51vyiMcpRC0l&#10;Da5PQf2PHXOCEvXF4HzO8skk7lt6TC4ux/hwp5rtqcbs9AqwKziDmF26RnxQx6t0oJ9w05cxKqqY&#10;4Ri7oOF4XYVuqfFPwcVymUC4YZaFO7O2PLqOLMf52bRPzNl+yALO5z0cF43NX81ah42WBpa7ALJO&#10;gxh57ljt+cftTKPc/0ni+p++E+rlf7f4BQ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BQZLO5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E3" w:rsidRDefault="00230FE3" w:rsidP="00883829">
      <w:pPr>
        <w:spacing w:after="0" w:line="240" w:lineRule="auto"/>
      </w:pPr>
      <w:r>
        <w:separator/>
      </w:r>
    </w:p>
  </w:endnote>
  <w:endnote w:type="continuationSeparator" w:id="0">
    <w:p w:rsidR="00230FE3" w:rsidRDefault="00230FE3"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E3" w:rsidRDefault="00230FE3" w:rsidP="00883829">
      <w:pPr>
        <w:spacing w:after="0" w:line="240" w:lineRule="auto"/>
      </w:pPr>
      <w:r>
        <w:separator/>
      </w:r>
    </w:p>
  </w:footnote>
  <w:footnote w:type="continuationSeparator" w:id="0">
    <w:p w:rsidR="00230FE3" w:rsidRDefault="00230FE3"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8"/>
  </w:num>
  <w:num w:numId="6">
    <w:abstractNumId w:val="6"/>
  </w:num>
  <w:num w:numId="7">
    <w:abstractNumId w:val="7"/>
  </w:num>
  <w:num w:numId="8">
    <w:abstractNumId w:val="11"/>
  </w:num>
  <w:num w:numId="9">
    <w:abstractNumId w:val="2"/>
  </w:num>
  <w:num w:numId="10">
    <w:abstractNumId w:val="1"/>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143FA6"/>
    <w:rsid w:val="00230FE3"/>
    <w:rsid w:val="0024744D"/>
    <w:rsid w:val="004C27FA"/>
    <w:rsid w:val="00567C32"/>
    <w:rsid w:val="00883829"/>
    <w:rsid w:val="009C272A"/>
    <w:rsid w:val="00A16A11"/>
    <w:rsid w:val="00A97A85"/>
    <w:rsid w:val="00AA2FC4"/>
    <w:rsid w:val="00C6294D"/>
    <w:rsid w:val="00E46ECE"/>
    <w:rsid w:val="00EA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485DC8"/>
    <w:rsid w:val="00AD34A7"/>
    <w:rsid w:val="00E04AC1"/>
    <w:rsid w:val="00F0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4A5C6-7D3B-4B79-A6FC-2DD52DF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2014-03-31T16:07:00Z</cp:lastPrinted>
  <dcterms:created xsi:type="dcterms:W3CDTF">2014-05-08T16:39:00Z</dcterms:created>
  <dcterms:modified xsi:type="dcterms:W3CDTF">2014-05-08T16:39:00Z</dcterms:modified>
</cp:coreProperties>
</file>