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4289572C"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sidR="00CA7338">
        <w:rPr>
          <w:rFonts w:ascii="Times New Roman" w:hAnsi="Times New Roman" w:cs="Times New Roman"/>
          <w:b/>
          <w:sz w:val="24"/>
          <w:szCs w:val="24"/>
        </w:rPr>
        <w:t>A</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1F10A668" w14:textId="5299F31F" w:rsidR="00CF14A5" w:rsidRDefault="005C64DD" w:rsidP="00C6062F">
      <w:pPr>
        <w:spacing w:after="0" w:line="240" w:lineRule="auto"/>
        <w:jc w:val="both"/>
        <w:rPr>
          <w:rFonts w:ascii="Times New Roman" w:hAnsi="Times New Roman" w:cs="Times New Roman"/>
          <w:b/>
          <w:sz w:val="24"/>
          <w:szCs w:val="24"/>
        </w:rPr>
      </w:pPr>
      <w:proofErr w:type="spellStart"/>
      <w:r w:rsidRPr="00C6062F">
        <w:rPr>
          <w:rFonts w:ascii="Times New Roman" w:hAnsi="Times New Roman" w:cs="Times New Roman"/>
          <w:b/>
          <w:sz w:val="24"/>
          <w:szCs w:val="24"/>
        </w:rPr>
        <w:t>RFx</w:t>
      </w:r>
      <w:proofErr w:type="spellEnd"/>
      <w:r w:rsidRPr="00C6062F">
        <w:rPr>
          <w:rFonts w:ascii="Times New Roman" w:hAnsi="Times New Roman" w:cs="Times New Roman"/>
          <w:b/>
          <w:sz w:val="24"/>
          <w:szCs w:val="24"/>
        </w:rPr>
        <w:t xml:space="preserve"> number: </w:t>
      </w:r>
      <w:r w:rsidR="00EB2959">
        <w:rPr>
          <w:rFonts w:ascii="Times New Roman" w:hAnsi="Times New Roman" w:cs="Times New Roman"/>
          <w:b/>
          <w:sz w:val="24"/>
          <w:szCs w:val="24"/>
        </w:rPr>
        <w:t>30000</w:t>
      </w:r>
      <w:r w:rsidR="00DC4FD2">
        <w:rPr>
          <w:rFonts w:ascii="Times New Roman" w:hAnsi="Times New Roman" w:cs="Times New Roman"/>
          <w:b/>
          <w:sz w:val="24"/>
          <w:szCs w:val="24"/>
        </w:rPr>
        <w:t>22700</w:t>
      </w:r>
    </w:p>
    <w:p w14:paraId="082914D5" w14:textId="660F823D" w:rsidR="004D5637" w:rsidRPr="00841190" w:rsidRDefault="00427C51" w:rsidP="00841190">
      <w:pPr>
        <w:spacing w:after="0" w:line="240" w:lineRule="auto"/>
        <w:jc w:val="both"/>
      </w:pPr>
      <w:r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Pr="00C6062F">
        <w:rPr>
          <w:rFonts w:ascii="Times New Roman" w:hAnsi="Times New Roman" w:cs="Times New Roman"/>
          <w:b/>
          <w:sz w:val="24"/>
          <w:szCs w:val="24"/>
        </w:rPr>
        <w:t>:</w:t>
      </w:r>
      <w:r w:rsidR="00A251EA">
        <w:rPr>
          <w:rFonts w:ascii="Times New Roman" w:hAnsi="Times New Roman" w:cs="Times New Roman"/>
          <w:b/>
          <w:sz w:val="24"/>
          <w:szCs w:val="24"/>
        </w:rPr>
        <w:t xml:space="preserve"> </w:t>
      </w:r>
      <w:r w:rsidR="00841190" w:rsidRPr="00841190">
        <w:rPr>
          <w:rFonts w:ascii="Times New Roman" w:hAnsi="Times New Roman" w:cs="Times New Roman"/>
          <w:b/>
          <w:sz w:val="24"/>
        </w:rPr>
        <w:t xml:space="preserve">Supplemental </w:t>
      </w:r>
      <w:r w:rsidR="00841190">
        <w:rPr>
          <w:rFonts w:ascii="Times New Roman" w:hAnsi="Times New Roman" w:cs="Times New Roman"/>
          <w:b/>
          <w:sz w:val="24"/>
        </w:rPr>
        <w:t xml:space="preserve">Medical Oxygen </w:t>
      </w:r>
      <w:r w:rsidR="00E108D8" w:rsidRPr="00841190">
        <w:rPr>
          <w:rFonts w:ascii="Times New Roman" w:hAnsi="Times New Roman" w:cs="Times New Roman"/>
          <w:b/>
          <w:sz w:val="24"/>
        </w:rPr>
        <w:t>Cylinders and Related Supplies Regular Delivery</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EA3A87B" w:rsidR="005C64DD" w:rsidRPr="00C6062F" w:rsidRDefault="00C305C8" w:rsidP="00C6062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Special</w:t>
      </w:r>
      <w:r w:rsidR="005C64DD" w:rsidRPr="00C6062F">
        <w:rPr>
          <w:rFonts w:ascii="Times New Roman" w:hAnsi="Times New Roman" w:cs="Times New Roman"/>
          <w:b/>
          <w:sz w:val="24"/>
          <w:szCs w:val="24"/>
          <w:u w:val="single"/>
        </w:rPr>
        <w:t xml:space="preserve">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1E7AEE58"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w:t>
      </w:r>
      <w:r w:rsidR="0040562D">
        <w:t xml:space="preserve"> time specified on page one </w:t>
      </w:r>
      <w:r w:rsidR="00FC14B1">
        <w:t>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6062F">
      <w:pPr>
        <w:pStyle w:val="Default"/>
        <w:jc w:val="both"/>
      </w:pPr>
      <w:r w:rsidRPr="00C6062F">
        <w:t xml:space="preserve">Office of State Procurement </w:t>
      </w:r>
    </w:p>
    <w:p w14:paraId="0DB05CAB" w14:textId="77777777" w:rsidR="00983322" w:rsidRPr="00C6062F" w:rsidRDefault="00983322" w:rsidP="00C6062F">
      <w:pPr>
        <w:pStyle w:val="Default"/>
        <w:jc w:val="both"/>
      </w:pPr>
      <w:r w:rsidRPr="00C6062F">
        <w:t xml:space="preserve">Claiborne Building, Suite 2-160 </w:t>
      </w:r>
    </w:p>
    <w:p w14:paraId="41DFC01F" w14:textId="77777777" w:rsidR="00983322" w:rsidRPr="00C6062F" w:rsidRDefault="00F716AC" w:rsidP="00C6062F">
      <w:pPr>
        <w:pStyle w:val="Default"/>
        <w:jc w:val="both"/>
      </w:pPr>
      <w:r w:rsidRPr="00C6062F">
        <w:t xml:space="preserve">1201 </w:t>
      </w:r>
      <w:r w:rsidR="00983322" w:rsidRPr="00C6062F">
        <w:t xml:space="preserve">North Third Street </w:t>
      </w:r>
    </w:p>
    <w:p w14:paraId="3FDA4159" w14:textId="77777777" w:rsidR="00983322" w:rsidRPr="00C6062F" w:rsidRDefault="00983322" w:rsidP="00C6062F">
      <w:pPr>
        <w:pStyle w:val="Default"/>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6A432940"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be submitted online by acc</w:t>
      </w:r>
      <w:r w:rsidR="009D610D">
        <w:t>essing the link on page 1</w:t>
      </w:r>
      <w:r w:rsidR="0040562D">
        <w:t xml:space="preserve"> </w:t>
      </w:r>
      <w:r w:rsidRPr="00C6062F">
        <w:t>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0DAFD324"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w:t>
      </w:r>
      <w:r w:rsidR="0040562D">
        <w:t xml:space="preserve"> sent to you or received by us. </w:t>
      </w:r>
      <w:r w:rsidRPr="00C6062F">
        <w:t xml:space="preserve">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9B5F54"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lastRenderedPageBreak/>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7D8E5F68"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9B5F54">
        <w:rPr>
          <w:rFonts w:ascii="Times New Roman" w:hAnsi="Times New Roman" w:cs="Times New Roman"/>
          <w:sz w:val="24"/>
          <w:szCs w:val="24"/>
          <w:u w:val="single"/>
        </w:rPr>
        <w:t>04/09</w:t>
      </w:r>
      <w:r w:rsidR="00E108D8">
        <w:rPr>
          <w:rFonts w:ascii="Times New Roman" w:hAnsi="Times New Roman" w:cs="Times New Roman"/>
          <w:sz w:val="24"/>
          <w:szCs w:val="24"/>
          <w:u w:val="single"/>
        </w:rPr>
        <w:t>/2024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05369C92" w14:textId="18E694E2" w:rsidR="007C5CF2" w:rsidRPr="00C6062F" w:rsidRDefault="007005F8" w:rsidP="007C5CF2">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answer written inquiries:  </w:t>
      </w:r>
      <w:r w:rsidR="00DC4FD2">
        <w:rPr>
          <w:rFonts w:ascii="Times New Roman" w:hAnsi="Times New Roman" w:cs="Times New Roman"/>
          <w:sz w:val="24"/>
          <w:szCs w:val="24"/>
          <w:u w:val="single"/>
        </w:rPr>
        <w:t>04/16</w:t>
      </w:r>
      <w:r w:rsidR="00E108D8">
        <w:rPr>
          <w:rFonts w:ascii="Times New Roman" w:hAnsi="Times New Roman" w:cs="Times New Roman"/>
          <w:sz w:val="24"/>
          <w:szCs w:val="24"/>
          <w:u w:val="single"/>
        </w:rPr>
        <w:t>/2024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3662A552" w:rsidR="007005F8" w:rsidRPr="00C6062F" w:rsidRDefault="007C5CF2" w:rsidP="00C6062F">
      <w:pPr>
        <w:keepNext/>
        <w:keepLine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Bid Opening Date and Time: </w:t>
      </w:r>
      <w:r w:rsidR="00DC4FD2">
        <w:rPr>
          <w:rFonts w:ascii="Times New Roman" w:hAnsi="Times New Roman" w:cs="Times New Roman"/>
          <w:sz w:val="24"/>
          <w:szCs w:val="24"/>
          <w:u w:val="single"/>
        </w:rPr>
        <w:t>04/23</w:t>
      </w:r>
      <w:r w:rsidR="0040562D">
        <w:rPr>
          <w:rFonts w:ascii="Times New Roman" w:hAnsi="Times New Roman" w:cs="Times New Roman"/>
          <w:sz w:val="24"/>
          <w:szCs w:val="24"/>
          <w:u w:val="single"/>
        </w:rPr>
        <w:t>/2024</w:t>
      </w:r>
      <w:r w:rsidR="007005F8" w:rsidRPr="00C6062F">
        <w:rPr>
          <w:rFonts w:ascii="Times New Roman" w:hAnsi="Times New Roman" w:cs="Times New Roman"/>
          <w:sz w:val="24"/>
          <w:szCs w:val="24"/>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68C6387D"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40173CB8"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w:t>
      </w:r>
      <w:r w:rsidR="008410C2">
        <w:rPr>
          <w:rFonts w:ascii="Times New Roman" w:hAnsi="Times New Roman" w:cs="Times New Roman"/>
          <w:sz w:val="24"/>
          <w:szCs w:val="24"/>
        </w:rPr>
        <w:t xml:space="preserve"> to the relevant bid section.  </w:t>
      </w:r>
      <w:r w:rsidRPr="00C6062F">
        <w:rPr>
          <w:rFonts w:ascii="Times New Roman" w:hAnsi="Times New Roman" w:cs="Times New Roman"/>
          <w:sz w:val="24"/>
          <w:szCs w:val="24"/>
        </w:rPr>
        <w:t xml:space="preserve">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52DE9E3B"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CA7338">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1A396ED8"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4F7A5C" w:rsidRPr="00112A30">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462BE44F" w:rsidR="00D326CD" w:rsidRDefault="00CA7338" w:rsidP="00C6062F">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28AC3E19"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w:t>
      </w:r>
      <w:r w:rsidRPr="00C6062F">
        <w:rPr>
          <w:rFonts w:ascii="Times New Roman" w:hAnsi="Times New Roman" w:cs="Times New Roman"/>
          <w:sz w:val="24"/>
          <w:szCs w:val="24"/>
        </w:rPr>
        <w:lastRenderedPageBreak/>
        <w:t xml:space="preserve">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57D5216D"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17250C" w:rsidRPr="009F27F4">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9B5F54"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639BA3EA" w:rsidR="007005F8" w:rsidRPr="009D610D" w:rsidRDefault="007005F8" w:rsidP="009D610D">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Procurement</w:t>
      </w:r>
      <w:r w:rsidR="009D610D">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9D610D">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114DC718"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bidder who signs the b</w:t>
      </w:r>
      <w:r w:rsidR="0006658A">
        <w:rPr>
          <w:rFonts w:ascii="Times New Roman" w:eastAsia="PMingLiU" w:hAnsi="Times New Roman" w:cs="Times New Roman"/>
          <w:sz w:val="24"/>
          <w:szCs w:val="24"/>
          <w:lang w:eastAsia="zh-TW"/>
        </w:rPr>
        <w:t>id will be designated as</w:t>
      </w:r>
      <w:r w:rsidR="009D610D">
        <w:rPr>
          <w:rFonts w:ascii="Times New Roman" w:eastAsia="PMingLiU" w:hAnsi="Times New Roman" w:cs="Times New Roman"/>
          <w:sz w:val="24"/>
          <w:szCs w:val="24"/>
          <w:lang w:eastAsia="zh-TW"/>
        </w:rPr>
        <w:t xml:space="preserve"> the</w:t>
      </w:r>
      <w:r w:rsidR="0006658A">
        <w:rPr>
          <w:rFonts w:ascii="Times New Roman" w:eastAsia="PMingLiU" w:hAnsi="Times New Roman" w:cs="Times New Roman"/>
          <w:sz w:val="24"/>
          <w:szCs w:val="24"/>
          <w:lang w:eastAsia="zh-TW"/>
        </w:rPr>
        <w:t xml:space="preserve"> prime 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w:t>
      </w:r>
      <w:r w:rsidR="0006658A">
        <w:rPr>
          <w:rFonts w:ascii="Times New Roman" w:eastAsia="PMingLiU" w:hAnsi="Times New Roman" w:cs="Times New Roman"/>
          <w:sz w:val="24"/>
          <w:szCs w:val="24"/>
          <w:lang w:eastAsia="zh-TW"/>
        </w:rPr>
        <w:t>e business address.  The prime C</w:t>
      </w:r>
      <w:r w:rsidRPr="00C6062F">
        <w:rPr>
          <w:rFonts w:ascii="Times New Roman" w:eastAsia="PMingLiU" w:hAnsi="Times New Roman" w:cs="Times New Roman"/>
          <w:sz w:val="24"/>
          <w:szCs w:val="24"/>
          <w:lang w:eastAsia="zh-TW"/>
        </w:rPr>
        <w:t>ontractor will be responsible for the actions of any distributor vendors listed.</w:t>
      </w:r>
    </w:p>
    <w:p w14:paraId="5F6BE38C" w14:textId="481E0D6E"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63064BF0"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Unless o</w:t>
      </w:r>
      <w:r w:rsidR="009D610D">
        <w:rPr>
          <w:rFonts w:ascii="Times New Roman" w:eastAsia="PMingLiU" w:hAnsi="Times New Roman" w:cs="Times New Roman"/>
          <w:sz w:val="24"/>
          <w:szCs w:val="24"/>
          <w:lang w:eastAsia="zh-TW"/>
        </w:rPr>
        <w:t>therwise specified, bids on the</w:t>
      </w:r>
      <w:r w:rsidRPr="00C6062F">
        <w:rPr>
          <w:rFonts w:ascii="Times New Roman" w:eastAsia="PMingLiU" w:hAnsi="Times New Roman" w:cs="Times New Roman"/>
          <w:sz w:val="24"/>
          <w:szCs w:val="24"/>
          <w:lang w:eastAsia="zh-TW"/>
        </w:rPr>
        <w:t xml:space="preserve"> 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w:t>
      </w:r>
      <w:r w:rsidR="00E5467A">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79925C60"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w:t>
      </w:r>
      <w:r w:rsidR="00E5467A">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Prices should be quoted in the unit (each, box, case, hour, flat,</w:t>
      </w:r>
      <w:r w:rsidR="00334E43">
        <w:rPr>
          <w:rFonts w:ascii="Times New Roman" w:eastAsia="PMingLiU" w:hAnsi="Times New Roman" w:cs="Times New Roman"/>
          <w:sz w:val="24"/>
          <w:szCs w:val="24"/>
          <w:lang w:eastAsia="zh-TW"/>
        </w:rPr>
        <w:t xml:space="preserve"> mile, etc.) as specified in this</w:t>
      </w:r>
      <w:r w:rsidRPr="00C6062F">
        <w:rPr>
          <w:rFonts w:ascii="Times New Roman" w:eastAsia="PMingLiU" w:hAnsi="Times New Roman" w:cs="Times New Roman"/>
          <w:sz w:val="24"/>
          <w:szCs w:val="24"/>
          <w:lang w:eastAsia="zh-TW"/>
        </w:rPr>
        <w:t xml:space="preserve"> solicitation. </w:t>
      </w:r>
    </w:p>
    <w:p w14:paraId="5196CC7D" w14:textId="77777777" w:rsidR="004F7A5C" w:rsidRDefault="004F7A5C" w:rsidP="00C6062F">
      <w:pPr>
        <w:widowControl/>
        <w:spacing w:after="0" w:line="240" w:lineRule="auto"/>
        <w:jc w:val="both"/>
        <w:rPr>
          <w:rFonts w:ascii="Times New Roman" w:eastAsia="PMingLiU" w:hAnsi="Times New Roman" w:cs="Times New Roman"/>
          <w:sz w:val="24"/>
          <w:szCs w:val="24"/>
          <w:lang w:eastAsia="zh-TW"/>
        </w:rPr>
      </w:pPr>
    </w:p>
    <w:p w14:paraId="54A9F788" w14:textId="7FD60BFC"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3261E536"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w:t>
      </w:r>
      <w:r w:rsidR="0017250C">
        <w:rPr>
          <w:rFonts w:ascii="Times New Roman" w:hAnsi="Times New Roman" w:cs="Times New Roman"/>
          <w:sz w:val="24"/>
          <w:szCs w:val="24"/>
        </w:rPr>
        <w:t>services</w:t>
      </w:r>
      <w:r w:rsidR="00E5467A">
        <w:rPr>
          <w:rFonts w:ascii="Times New Roman" w:hAnsi="Times New Roman" w:cs="Times New Roman"/>
          <w:sz w:val="24"/>
          <w:szCs w:val="24"/>
        </w:rPr>
        <w:t xml:space="preserve">. </w:t>
      </w:r>
      <w:r w:rsidR="009D610D">
        <w:rPr>
          <w:rFonts w:ascii="Times New Roman" w:hAnsi="Times New Roman" w:cs="Times New Roman"/>
          <w:sz w:val="24"/>
          <w:szCs w:val="24"/>
        </w:rPr>
        <w:t>In no case will the State A</w:t>
      </w:r>
      <w:r w:rsidRPr="00C6062F">
        <w:rPr>
          <w:rFonts w:ascii="Times New Roman" w:hAnsi="Times New Roman" w:cs="Times New Roman"/>
          <w:sz w:val="24"/>
          <w:szCs w:val="24"/>
        </w:rPr>
        <w:t xml:space="preserve">gency refuse to make partial payments to the Contractor although all </w:t>
      </w:r>
      <w:r w:rsidR="0017250C">
        <w:rPr>
          <w:rFonts w:ascii="Times New Roman" w:hAnsi="Times New Roman" w:cs="Times New Roman"/>
          <w:sz w:val="24"/>
          <w:szCs w:val="24"/>
        </w:rPr>
        <w:t>services</w:t>
      </w:r>
      <w:r w:rsidRPr="00C6062F">
        <w:rPr>
          <w:rFonts w:ascii="Times New Roman" w:hAnsi="Times New Roman" w:cs="Times New Roman"/>
          <w:sz w:val="24"/>
          <w:szCs w:val="24"/>
        </w:rPr>
        <w:t xml:space="preserve"> have not been </w:t>
      </w:r>
      <w:r w:rsidR="0017250C">
        <w:rPr>
          <w:rFonts w:ascii="Times New Roman" w:hAnsi="Times New Roman" w:cs="Times New Roman"/>
          <w:sz w:val="24"/>
          <w:szCs w:val="24"/>
        </w:rPr>
        <w:t>provided</w:t>
      </w:r>
      <w:r w:rsidR="00E5467A">
        <w:rPr>
          <w:rFonts w:ascii="Times New Roman" w:hAnsi="Times New Roman" w:cs="Times New Roman"/>
          <w:sz w:val="24"/>
          <w:szCs w:val="24"/>
        </w:rPr>
        <w:t xml:space="preserve">. </w:t>
      </w:r>
      <w:r w:rsidRPr="00C6062F">
        <w:rPr>
          <w:rFonts w:ascii="Times New Roman" w:hAnsi="Times New Roman" w:cs="Times New Roman"/>
          <w:sz w:val="24"/>
          <w:szCs w:val="24"/>
        </w:rPr>
        <w:t xml:space="preserve">This </w:t>
      </w:r>
      <w:r w:rsidR="0006658A">
        <w:rPr>
          <w:rFonts w:ascii="Times New Roman" w:hAnsi="Times New Roman" w:cs="Times New Roman"/>
          <w:sz w:val="24"/>
          <w:szCs w:val="24"/>
        </w:rPr>
        <w:t>payment in no way relieves the C</w:t>
      </w:r>
      <w:r w:rsidRPr="00C6062F">
        <w:rPr>
          <w:rFonts w:ascii="Times New Roman" w:hAnsi="Times New Roman" w:cs="Times New Roman"/>
          <w:sz w:val="24"/>
          <w:szCs w:val="24"/>
        </w:rPr>
        <w:t xml:space="preserve">ontractor of his responsibility to </w:t>
      </w:r>
      <w:r w:rsidR="0017250C">
        <w:rPr>
          <w:rFonts w:ascii="Times New Roman" w:hAnsi="Times New Roman" w:cs="Times New Roman"/>
          <w:sz w:val="24"/>
          <w:szCs w:val="24"/>
        </w:rPr>
        <w:t xml:space="preserve">complete </w:t>
      </w:r>
      <w:r w:rsidR="00CD28F5">
        <w:rPr>
          <w:rFonts w:ascii="Times New Roman" w:hAnsi="Times New Roman" w:cs="Times New Roman"/>
          <w:sz w:val="24"/>
          <w:szCs w:val="24"/>
        </w:rPr>
        <w:t xml:space="preserve">the </w:t>
      </w:r>
      <w:r w:rsidR="0017250C">
        <w:rPr>
          <w:rFonts w:ascii="Times New Roman" w:hAnsi="Times New Roman" w:cs="Times New Roman"/>
          <w:sz w:val="24"/>
          <w:szCs w:val="24"/>
        </w:rPr>
        <w:t>remaining services</w:t>
      </w:r>
      <w:r w:rsidRPr="00C6062F">
        <w:rPr>
          <w:rFonts w:ascii="Times New Roman" w:hAnsi="Times New Roman" w:cs="Times New Roman"/>
          <w:sz w:val="24"/>
          <w:szCs w:val="24"/>
        </w:rPr>
        <w:t xml:space="preserve">.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5FB031DD" w:rsidR="006E09BB"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Inv</w:t>
      </w:r>
      <w:r w:rsidR="0006658A">
        <w:rPr>
          <w:rFonts w:ascii="Times New Roman" w:hAnsi="Times New Roman" w:cs="Times New Roman"/>
          <w:sz w:val="24"/>
          <w:szCs w:val="24"/>
        </w:rPr>
        <w:t>oices will be submitted by the C</w:t>
      </w:r>
      <w:r w:rsidR="009D610D">
        <w:rPr>
          <w:rFonts w:ascii="Times New Roman" w:hAnsi="Times New Roman" w:cs="Times New Roman"/>
          <w:sz w:val="24"/>
          <w:szCs w:val="24"/>
        </w:rPr>
        <w:t>ontractor to the using 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w:t>
      </w:r>
      <w:r w:rsidR="0006658A">
        <w:rPr>
          <w:rFonts w:ascii="Times New Roman" w:hAnsi="Times New Roman" w:cs="Times New Roman"/>
          <w:sz w:val="24"/>
          <w:szCs w:val="24"/>
        </w:rPr>
        <w:t xml:space="preserve"> the C</w:t>
      </w:r>
      <w:r w:rsidRPr="00C6062F">
        <w:rPr>
          <w:rFonts w:ascii="Times New Roman" w:hAnsi="Times New Roman" w:cs="Times New Roman"/>
          <w:sz w:val="24"/>
          <w:szCs w:val="24"/>
        </w:rPr>
        <w:t>ontractor's own invoice form.</w:t>
      </w:r>
    </w:p>
    <w:p w14:paraId="3FE74950" w14:textId="77777777" w:rsidR="00CE2E29" w:rsidRPr="00C6062F" w:rsidRDefault="00CE2E29" w:rsidP="00C6062F">
      <w:pPr>
        <w:widowControl/>
        <w:spacing w:after="0" w:line="240" w:lineRule="auto"/>
        <w:jc w:val="both"/>
        <w:rPr>
          <w:rFonts w:ascii="Times New Roman" w:hAnsi="Times New Roman" w:cs="Times New Roman"/>
          <w:sz w:val="24"/>
          <w:szCs w:val="24"/>
        </w:rPr>
      </w:pPr>
    </w:p>
    <w:p w14:paraId="21AB122F" w14:textId="77777777" w:rsidR="00CE2E29" w:rsidRPr="002363E3" w:rsidRDefault="00CE2E29" w:rsidP="00CE2E29">
      <w:pPr>
        <w:spacing w:before="1" w:after="0" w:line="240" w:lineRule="auto"/>
        <w:ind w:left="101" w:right="52" w:hanging="101"/>
        <w:jc w:val="both"/>
        <w:rPr>
          <w:rFonts w:ascii="Times New Roman" w:eastAsia="Times New Roman" w:hAnsi="Times New Roman" w:cs="Times New Roman"/>
          <w:b/>
          <w:sz w:val="24"/>
        </w:rPr>
      </w:pPr>
      <w:r w:rsidRPr="002363E3">
        <w:rPr>
          <w:rFonts w:ascii="Times New Roman" w:eastAsia="Times New Roman" w:hAnsi="Times New Roman" w:cs="Times New Roman"/>
          <w:b/>
          <w:sz w:val="24"/>
        </w:rPr>
        <w:t>Late Payment:</w:t>
      </w:r>
    </w:p>
    <w:p w14:paraId="3AE56B2B" w14:textId="77777777" w:rsidR="00CE2E29" w:rsidRDefault="00CE2E29" w:rsidP="00CE2E29">
      <w:pPr>
        <w:spacing w:before="1" w:after="0" w:line="240" w:lineRule="auto"/>
        <w:ind w:right="52"/>
        <w:jc w:val="both"/>
        <w:rPr>
          <w:rFonts w:ascii="Times New Roman" w:eastAsia="Times New Roman" w:hAnsi="Times New Roman" w:cs="Times New Roman"/>
          <w:sz w:val="24"/>
        </w:rPr>
      </w:pPr>
      <w:r w:rsidRPr="002363E3">
        <w:rPr>
          <w:rFonts w:ascii="Times New Roman" w:eastAsia="Times New Roman" w:hAnsi="Times New Roman" w:cs="Times New Roman"/>
          <w:sz w:val="24"/>
        </w:rPr>
        <w:t>Interest due by a State Agency for late payments shall be in accordance with La. R.S. 39:1695 at the rates established in La. R.S. 13:4202.</w:t>
      </w:r>
    </w:p>
    <w:p w14:paraId="613CFE50" w14:textId="59B4E046" w:rsidR="00CE2E29" w:rsidRPr="00C6062F" w:rsidRDefault="00CE2E29"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7113A263"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w:t>
      </w:r>
      <w:r w:rsidR="00E5467A">
        <w:rPr>
          <w:rFonts w:ascii="Times New Roman" w:hAnsi="Times New Roman" w:cs="Times New Roman"/>
          <w:sz w:val="24"/>
          <w:szCs w:val="24"/>
        </w:rPr>
        <w:t xml:space="preserve">12 </w:t>
      </w:r>
      <w:r w:rsidRPr="00C6062F">
        <w:rPr>
          <w:rFonts w:ascii="Times New Roman" w:hAnsi="Times New Roman" w:cs="Times New Roman"/>
          <w:sz w:val="24"/>
          <w:szCs w:val="24"/>
        </w:rPr>
        <w:t xml:space="preserve">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062F59C0"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At the option of the State of Louisiana and a</w:t>
      </w:r>
      <w:r w:rsidR="0006658A">
        <w:rPr>
          <w:rFonts w:ascii="Times New Roman" w:eastAsia="PMingLiU" w:hAnsi="Times New Roman" w:cs="Times New Roman"/>
          <w:sz w:val="24"/>
          <w:szCs w:val="24"/>
          <w:lang w:eastAsia="zh-TW"/>
        </w:rPr>
        <w:t>cceptance by the 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w:t>
      </w:r>
      <w:r w:rsidR="00E5467A">
        <w:rPr>
          <w:rFonts w:ascii="Times New Roman" w:eastAsia="PMingLiU" w:hAnsi="Times New Roman" w:cs="Times New Roman"/>
          <w:sz w:val="24"/>
          <w:szCs w:val="24"/>
          <w:lang w:eastAsia="zh-TW"/>
        </w:rPr>
        <w:t>ontract may be extended for two</w:t>
      </w:r>
      <w:r w:rsidR="00FC14B1">
        <w:rPr>
          <w:rFonts w:ascii="Times New Roman" w:eastAsia="PMingLiU" w:hAnsi="Times New Roman" w:cs="Times New Roman"/>
          <w:sz w:val="24"/>
          <w:szCs w:val="24"/>
          <w:lang w:eastAsia="zh-TW"/>
        </w:rPr>
        <w:t xml:space="preserve"> </w:t>
      </w:r>
      <w:r w:rsidR="009D610D">
        <w:rPr>
          <w:rFonts w:ascii="Times New Roman" w:eastAsia="PMingLiU" w:hAnsi="Times New Roman" w:cs="Times New Roman"/>
          <w:sz w:val="24"/>
          <w:szCs w:val="24"/>
          <w:lang w:eastAsia="zh-TW"/>
        </w:rPr>
        <w:t>additional 12</w:t>
      </w:r>
      <w:r w:rsidRPr="00C6062F">
        <w:rPr>
          <w:rFonts w:ascii="Times New Roman" w:eastAsia="PMingLiU" w:hAnsi="Times New Roman" w:cs="Times New Roman"/>
          <w:sz w:val="24"/>
          <w:szCs w:val="24"/>
          <w:lang w:eastAsia="zh-TW"/>
        </w:rPr>
        <w:t xml:space="preserve"> month periods at the sam</w:t>
      </w:r>
      <w:r w:rsidR="00E5467A">
        <w:rPr>
          <w:rFonts w:ascii="Times New Roman" w:eastAsia="PMingLiU" w:hAnsi="Times New Roman" w:cs="Times New Roman"/>
          <w:sz w:val="24"/>
          <w:szCs w:val="24"/>
          <w:lang w:eastAsia="zh-TW"/>
        </w:rPr>
        <w:t xml:space="preserve">e price, terms and conditions. </w:t>
      </w:r>
      <w:r w:rsidRPr="00C6062F">
        <w:rPr>
          <w:rFonts w:ascii="Times New Roman" w:eastAsia="PMingLiU" w:hAnsi="Times New Roman" w:cs="Times New Roman"/>
          <w:sz w:val="24"/>
          <w:szCs w:val="24"/>
          <w:lang w:eastAsia="zh-TW"/>
        </w:rPr>
        <w:t>Total contract tim</w:t>
      </w:r>
      <w:r w:rsidR="00E5467A">
        <w:rPr>
          <w:rFonts w:ascii="Times New Roman" w:eastAsia="PMingLiU" w:hAnsi="Times New Roman" w:cs="Times New Roman"/>
          <w:sz w:val="24"/>
          <w:szCs w:val="24"/>
          <w:lang w:eastAsia="zh-TW"/>
        </w:rPr>
        <w:t>e may not exceed 36</w:t>
      </w:r>
      <w:r w:rsidRPr="00C6062F">
        <w:rPr>
          <w:rFonts w:ascii="Times New Roman" w:eastAsia="PMingLiU" w:hAnsi="Times New Roman" w:cs="Times New Roman"/>
          <w:sz w:val="24"/>
          <w:szCs w:val="24"/>
          <w:lang w:eastAsia="zh-TW"/>
        </w:rPr>
        <w:t xml:space="preserve">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37B4797D"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5377BF8B"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This is an open-ended requirements contract.  Quantities shown are based on the previou</w:t>
      </w:r>
      <w:r w:rsidR="00E5467A">
        <w:rPr>
          <w:rFonts w:ascii="Times New Roman" w:eastAsia="PMingLiU" w:hAnsi="Times New Roman" w:cs="Times New Roman"/>
          <w:sz w:val="24"/>
          <w:szCs w:val="24"/>
          <w:lang w:eastAsia="zh-TW"/>
        </w:rPr>
        <w:t xml:space="preserve">s contract usage or estimates. </w:t>
      </w:r>
      <w:r w:rsidRPr="00C6062F">
        <w:rPr>
          <w:rFonts w:ascii="Times New Roman" w:eastAsia="PMingLiU" w:hAnsi="Times New Roman" w:cs="Times New Roman"/>
          <w:sz w:val="24"/>
          <w:szCs w:val="24"/>
          <w:lang w:eastAsia="zh-TW"/>
        </w:rPr>
        <w:t xml:space="preserve">Where usage is not available, a quantity of </w:t>
      </w:r>
      <w:r w:rsidR="00E5467A">
        <w:rPr>
          <w:rFonts w:ascii="Times New Roman" w:eastAsia="PMingLiU" w:hAnsi="Times New Roman" w:cs="Times New Roman"/>
          <w:sz w:val="24"/>
          <w:szCs w:val="24"/>
          <w:lang w:eastAsia="zh-TW"/>
        </w:rPr>
        <w:t>one</w:t>
      </w:r>
      <w:r w:rsidRPr="00C6062F">
        <w:rPr>
          <w:rFonts w:ascii="Times New Roman" w:eastAsia="PMingLiU" w:hAnsi="Times New Roman" w:cs="Times New Roman"/>
          <w:sz w:val="24"/>
          <w:szCs w:val="24"/>
          <w:lang w:eastAsia="zh-TW"/>
        </w:rPr>
        <w:t xml:space="preserve"> 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86AAF34" w14:textId="7F458894" w:rsidR="00CF14A5" w:rsidRDefault="00CF14A5" w:rsidP="00C6062F">
      <w:pPr>
        <w:widowControl/>
        <w:spacing w:after="0" w:line="240" w:lineRule="auto"/>
        <w:jc w:val="both"/>
        <w:rPr>
          <w:rFonts w:ascii="Times New Roman" w:eastAsia="PMingLiU" w:hAnsi="Times New Roman" w:cs="Times New Roman"/>
          <w:sz w:val="24"/>
          <w:szCs w:val="24"/>
          <w:lang w:eastAsia="zh-TW"/>
        </w:rPr>
      </w:pPr>
    </w:p>
    <w:p w14:paraId="0A85E7AA" w14:textId="77777777" w:rsidR="00CF14A5"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Pr="00C6062F">
        <w:rPr>
          <w:rFonts w:ascii="Times New Roman" w:eastAsia="PMingLiU" w:hAnsi="Times New Roman" w:cs="Times New Roman"/>
          <w:sz w:val="24"/>
          <w:szCs w:val="24"/>
          <w:lang w:eastAsia="zh-TW"/>
        </w:rPr>
        <w:t xml:space="preserve">  </w:t>
      </w:r>
    </w:p>
    <w:p w14:paraId="4E152B0A"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 be inclusive of any freight charges.  Bid should be F.O.B. Destination – title passing upon receipt of goods.  Failure to comply with this requirement may disqualify your bid.</w:t>
      </w:r>
    </w:p>
    <w:p w14:paraId="29959A2A" w14:textId="77777777" w:rsidR="00CF14A5" w:rsidRPr="00C6062F" w:rsidRDefault="00CF14A5" w:rsidP="00C6062F">
      <w:pPr>
        <w:widowControl/>
        <w:spacing w:after="0" w:line="240" w:lineRule="auto"/>
        <w:jc w:val="both"/>
        <w:rPr>
          <w:rFonts w:ascii="Times New Roman" w:eastAsia="PMingLiU" w:hAnsi="Times New Roman" w:cs="Times New Roman"/>
          <w:sz w:val="24"/>
          <w:szCs w:val="24"/>
          <w:lang w:eastAsia="zh-TW"/>
        </w:rPr>
      </w:pPr>
    </w:p>
    <w:p w14:paraId="63307B2F" w14:textId="1702D283"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178E8BD1" w:rsidR="00B75C7D" w:rsidRDefault="009D610D"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State Agencies are</w:t>
      </w:r>
      <w:r w:rsidR="00B75C7D" w:rsidRPr="00C6062F">
        <w:rPr>
          <w:rFonts w:ascii="Times New Roman" w:eastAsia="PMingLiU" w:hAnsi="Times New Roman" w:cs="Times New Roman"/>
          <w:sz w:val="24"/>
          <w:szCs w:val="24"/>
          <w:lang w:eastAsia="zh-TW"/>
        </w:rPr>
        <w:t xml:space="preserve"> to issue contract </w:t>
      </w:r>
      <w:r w:rsidR="00147AAB" w:rsidRPr="00C6062F">
        <w:rPr>
          <w:rFonts w:ascii="Times New Roman" w:eastAsia="PMingLiU" w:hAnsi="Times New Roman" w:cs="Times New Roman"/>
          <w:sz w:val="24"/>
          <w:szCs w:val="24"/>
          <w:lang w:eastAsia="zh-TW"/>
        </w:rPr>
        <w:t>purchase</w:t>
      </w:r>
      <w:r w:rsidR="00B75C7D" w:rsidRPr="00C6062F">
        <w:rPr>
          <w:rFonts w:ascii="Times New Roman" w:eastAsia="PMingLiU" w:hAnsi="Times New Roman" w:cs="Times New Roman"/>
          <w:sz w:val="24"/>
          <w:szCs w:val="24"/>
          <w:lang w:eastAsia="zh-TW"/>
        </w:rPr>
        <w:t xml:space="preserve"> orders for the items required, as and when needed.</w:t>
      </w:r>
      <w:r>
        <w:rPr>
          <w:rFonts w:ascii="Times New Roman" w:eastAsia="PMingLiU" w:hAnsi="Times New Roman" w:cs="Times New Roman"/>
          <w:sz w:val="24"/>
          <w:szCs w:val="24"/>
          <w:lang w:eastAsia="zh-TW"/>
        </w:rPr>
        <w:t xml:space="preserve"> Political Subdivisions of the State and Quasi Agencies who have been authorized to purchase from contracts made by the Office of State Procurement, are to issue their regular purchase orders directly to the supplier, making reference to the contract and item number. </w:t>
      </w:r>
    </w:p>
    <w:p w14:paraId="7E00CD9F" w14:textId="39A5038B" w:rsidR="00CF14A5" w:rsidRDefault="00CF14A5" w:rsidP="00C6062F">
      <w:pPr>
        <w:widowControl/>
        <w:spacing w:after="0" w:line="240" w:lineRule="auto"/>
        <w:jc w:val="both"/>
        <w:rPr>
          <w:rFonts w:ascii="Times New Roman" w:eastAsia="PMingLiU" w:hAnsi="Times New Roman" w:cs="Times New Roman"/>
          <w:sz w:val="24"/>
          <w:szCs w:val="24"/>
          <w:lang w:eastAsia="zh-TW"/>
        </w:rPr>
      </w:pPr>
    </w:p>
    <w:p w14:paraId="162C58A1"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3E50E67D" w14:textId="5A76ADA8" w:rsidR="00E108D8" w:rsidRPr="00D83855"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w:t>
      </w:r>
      <w:r w:rsidR="00E5467A">
        <w:rPr>
          <w:rFonts w:ascii="Times New Roman" w:eastAsia="PMingLiU" w:hAnsi="Times New Roman" w:cs="Times New Roman"/>
          <w:sz w:val="24"/>
          <w:szCs w:val="24"/>
          <w:lang w:eastAsia="zh-TW"/>
        </w:rPr>
        <w:t xml:space="preserve">a minimum of 50% of </w:t>
      </w:r>
      <w:r>
        <w:rPr>
          <w:rFonts w:ascii="Times New Roman" w:eastAsia="PMingLiU" w:hAnsi="Times New Roman" w:cs="Times New Roman"/>
          <w:sz w:val="24"/>
          <w:szCs w:val="24"/>
          <w:lang w:eastAsia="zh-TW"/>
        </w:rPr>
        <w:t xml:space="preserve"> Louisiana residents.</w:t>
      </w:r>
    </w:p>
    <w:p w14:paraId="40A7269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7817A1A" w14:textId="77777777" w:rsidR="00E108D8" w:rsidRPr="00D83855" w:rsidRDefault="00E108D8" w:rsidP="00E108D8">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6D36173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F2504F9" w14:textId="24D300DE" w:rsidR="00E108D8" w:rsidRPr="00D83855" w:rsidRDefault="00E108D8" w:rsidP="00E108D8">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w:t>
      </w:r>
      <w:r w:rsidR="00E5467A">
        <w:rPr>
          <w:rFonts w:ascii="Times New Roman" w:eastAsia="PMingLiU" w:hAnsi="Times New Roman" w:cs="Times New Roman"/>
          <w:sz w:val="24"/>
          <w:szCs w:val="24"/>
          <w:lang w:eastAsia="zh-TW"/>
        </w:rPr>
        <w: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14:paraId="5A3CB1A0"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657739EA" w14:textId="77777777" w:rsidR="00E108D8" w:rsidRPr="00AB3589"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29F5AA5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0948766" w14:textId="77777777" w:rsidR="00E108D8"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6D1B2BF1" w14:textId="77777777" w:rsidR="00E108D8"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4671BF3A" w14:textId="47FFEC65" w:rsidR="00E108D8" w:rsidRPr="006A157C"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w:t>
      </w:r>
      <w:r w:rsidR="00E5467A">
        <w:rPr>
          <w:rFonts w:ascii="Times New Roman" w:eastAsia="PMingLiU" w:hAnsi="Times New Roman" w:cs="Times New Roman"/>
          <w:sz w:val="24"/>
          <w:szCs w:val="24"/>
          <w:lang w:eastAsia="zh-TW"/>
        </w:rPr>
        <w:t xml:space="preserve">s by more than </w:t>
      </w:r>
      <w:r w:rsidR="009B5F54">
        <w:rPr>
          <w:rFonts w:ascii="Times New Roman" w:eastAsia="PMingLiU" w:hAnsi="Times New Roman" w:cs="Times New Roman"/>
          <w:sz w:val="24"/>
          <w:szCs w:val="24"/>
          <w:lang w:eastAsia="zh-TW"/>
        </w:rPr>
        <w:t>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14:paraId="14C1E585"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D8EE3CC"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1DC60A10"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17CD284"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3CA4EF7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1E837615" w14:textId="098BE69B" w:rsidR="00E108D8" w:rsidRPr="00AB3589"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w:t>
      </w:r>
      <w:r w:rsidR="00E5467A">
        <w:rPr>
          <w:rFonts w:ascii="Times New Roman" w:eastAsia="PMingLiU" w:hAnsi="Times New Roman" w:cs="Times New Roman"/>
          <w:sz w:val="24"/>
          <w:szCs w:val="24"/>
          <w:lang w:eastAsia="zh-TW"/>
        </w:rPr>
        <w:t xml:space="preserve">e than </w:t>
      </w:r>
      <w:r w:rsidR="009B5F54">
        <w:rPr>
          <w:rFonts w:ascii="Times New Roman" w:eastAsia="PMingLiU" w:hAnsi="Times New Roman" w:cs="Times New Roman"/>
          <w:sz w:val="24"/>
          <w:szCs w:val="24"/>
          <w:lang w:eastAsia="zh-TW"/>
        </w:rPr>
        <w:t>7%</w:t>
      </w:r>
      <w:r w:rsidRPr="00AB3589">
        <w:rPr>
          <w:rFonts w:ascii="Times New Roman" w:eastAsia="PMingLiU" w:hAnsi="Times New Roman" w:cs="Times New Roman"/>
          <w:sz w:val="24"/>
          <w:szCs w:val="24"/>
          <w:lang w:eastAsia="zh-TW"/>
        </w:rPr>
        <w:t>.</w:t>
      </w:r>
    </w:p>
    <w:p w14:paraId="3455D2E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B88C880"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2980B583"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49C0225B"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6AF2C6A3" w14:textId="77777777" w:rsidR="00E108D8" w:rsidRDefault="00E108D8" w:rsidP="00E108D8">
      <w:pPr>
        <w:widowControl/>
        <w:spacing w:after="0" w:line="240" w:lineRule="auto"/>
        <w:ind w:firstLine="360"/>
        <w:jc w:val="both"/>
        <w:rPr>
          <w:rFonts w:ascii="Times New Roman" w:eastAsia="PMingLiU" w:hAnsi="Times New Roman" w:cs="Times New Roman"/>
          <w:sz w:val="24"/>
          <w:szCs w:val="24"/>
          <w:lang w:eastAsia="zh-TW"/>
        </w:rPr>
      </w:pPr>
    </w:p>
    <w:p w14:paraId="7EBB4349"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71115342" w14:textId="3D0A48DD"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40B4020A"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4BF053C"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3F38B333" w14:textId="77777777" w:rsidR="00E108D8"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7D3F94A6"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0B369E71" w14:textId="35DDDA01" w:rsidR="00E108D8" w:rsidRDefault="00E108D8"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w:t>
      </w:r>
      <w:r w:rsidR="00E5467A">
        <w:rPr>
          <w:rFonts w:ascii="Times New Roman" w:eastAsia="PMingLiU" w:hAnsi="Times New Roman" w:cs="Times New Roman"/>
          <w:sz w:val="24"/>
          <w:szCs w:val="24"/>
          <w:lang w:eastAsia="zh-TW"/>
        </w:rPr>
        <w:t xml:space="preserve">e by more than </w:t>
      </w:r>
      <w:r w:rsidR="009B5F54">
        <w:rPr>
          <w:rFonts w:ascii="Times New Roman" w:eastAsia="PMingLiU" w:hAnsi="Times New Roman" w:cs="Times New Roman"/>
          <w:sz w:val="24"/>
          <w:szCs w:val="24"/>
          <w:lang w:eastAsia="zh-TW"/>
        </w:rPr>
        <w:t>10%</w:t>
      </w:r>
      <w:r>
        <w:rPr>
          <w:rFonts w:ascii="Times New Roman" w:eastAsia="PMingLiU" w:hAnsi="Times New Roman" w:cs="Times New Roman"/>
          <w:sz w:val="24"/>
          <w:szCs w:val="24"/>
          <w:lang w:eastAsia="zh-TW"/>
        </w:rPr>
        <w:t>.</w:t>
      </w:r>
    </w:p>
    <w:p w14:paraId="49690B86" w14:textId="77777777" w:rsidR="00E108D8" w:rsidRDefault="00E108D8"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DEBEF8A" w14:textId="36206413" w:rsidR="00E108D8" w:rsidRDefault="00E5467A"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w:t>
      </w:r>
      <w:r w:rsidR="00E108D8">
        <w:rPr>
          <w:rFonts w:ascii="Times New Roman" w:eastAsia="PMingLiU" w:hAnsi="Times New Roman" w:cs="Times New Roman"/>
          <w:sz w:val="24"/>
          <w:szCs w:val="24"/>
          <w:lang w:eastAsia="zh-TW"/>
        </w:rPr>
        <w:t xml:space="preserve"> bidder offers Louisiana items wh</w:t>
      </w:r>
      <w:r>
        <w:rPr>
          <w:rFonts w:ascii="Times New Roman" w:eastAsia="PMingLiU" w:hAnsi="Times New Roman" w:cs="Times New Roman"/>
          <w:sz w:val="24"/>
          <w:szCs w:val="24"/>
          <w:lang w:eastAsia="zh-TW"/>
        </w:rPr>
        <w:t xml:space="preserve">ich are within </w:t>
      </w:r>
      <w:r w:rsidR="009B5F54">
        <w:rPr>
          <w:rFonts w:ascii="Times New Roman" w:eastAsia="PMingLiU" w:hAnsi="Times New Roman" w:cs="Times New Roman"/>
          <w:sz w:val="24"/>
          <w:szCs w:val="24"/>
          <w:lang w:eastAsia="zh-TW"/>
        </w:rPr>
        <w:t xml:space="preserve">10% </w:t>
      </w:r>
      <w:r w:rsidR="00E108D8">
        <w:rPr>
          <w:rFonts w:ascii="Times New Roman" w:eastAsia="PMingLiU" w:hAnsi="Times New Roman" w:cs="Times New Roman"/>
          <w:sz w:val="24"/>
          <w:szCs w:val="24"/>
          <w:lang w:eastAsia="zh-TW"/>
        </w:rPr>
        <w:t>of the lowest bid, the bidder offering the lowest bid on Louisiana items is entitled to accept the price of the lowest bid made on such items.</w:t>
      </w:r>
    </w:p>
    <w:p w14:paraId="3F51757F"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33156659"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57043CAC"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5898723E" w14:textId="58FCFFD9" w:rsidR="00E108D8" w:rsidRPr="00D83855" w:rsidRDefault="00E5467A" w:rsidP="00E108D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w:t>
      </w:r>
      <w:r w:rsidR="00E108D8" w:rsidRPr="00D83855">
        <w:rPr>
          <w:rFonts w:ascii="Times New Roman" w:eastAsia="PMingLiU" w:hAnsi="Times New Roman" w:cs="Times New Roman"/>
          <w:sz w:val="24"/>
          <w:szCs w:val="24"/>
          <w:lang w:eastAsia="zh-TW"/>
        </w:rPr>
        <w:t>line number(s): _____________________</w:t>
      </w:r>
      <w:r>
        <w:rPr>
          <w:rFonts w:ascii="Times New Roman" w:eastAsia="PMingLiU" w:hAnsi="Times New Roman" w:cs="Times New Roman"/>
          <w:sz w:val="24"/>
          <w:szCs w:val="24"/>
          <w:lang w:eastAsia="zh-TW"/>
        </w:rPr>
        <w:t>_______________________________</w:t>
      </w:r>
    </w:p>
    <w:p w14:paraId="6B63939B"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66228E67"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56BDF13D"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4FDC999C"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CFDD774"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113F588E"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6350A24" w14:textId="77777777" w:rsidR="00E108D8" w:rsidRDefault="00E108D8" w:rsidP="00E108D8">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7BD2D6A6" w14:textId="77777777" w:rsidR="00E108D8" w:rsidRDefault="00E108D8" w:rsidP="00E108D8">
      <w:pPr>
        <w:widowControl/>
        <w:spacing w:after="0" w:line="240" w:lineRule="auto"/>
        <w:ind w:left="990" w:hanging="990"/>
        <w:jc w:val="both"/>
        <w:rPr>
          <w:rFonts w:ascii="Times New Roman" w:eastAsia="PMingLiU" w:hAnsi="Times New Roman" w:cs="Times New Roman"/>
          <w:sz w:val="24"/>
          <w:szCs w:val="24"/>
          <w:lang w:eastAsia="zh-TW"/>
        </w:rPr>
      </w:pPr>
    </w:p>
    <w:p w14:paraId="62819AC2" w14:textId="77777777" w:rsidR="00E108D8" w:rsidRDefault="00E108D8" w:rsidP="00E108D8">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211AF971"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bookmarkStart w:id="0" w:name="_GoBack"/>
      <w:bookmarkEnd w:id="0"/>
    </w:p>
    <w:p w14:paraId="22E02C49"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0D0FA3E5" w14:textId="3EBF71FB"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sidR="009B5F54">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2C0F4496"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0C6F167"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4B27DE20"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3814611" w14:textId="1E85048E"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E5467A">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bidder offers items manufactured in the United State</w:t>
      </w:r>
      <w:r w:rsidR="00E5467A">
        <w:rPr>
          <w:rFonts w:ascii="Times New Roman" w:eastAsia="PMingLiU" w:hAnsi="Times New Roman" w:cs="Times New Roman"/>
          <w:sz w:val="24"/>
          <w:szCs w:val="24"/>
          <w:lang w:eastAsia="zh-TW"/>
        </w:rPr>
        <w:t xml:space="preserve">s which are within </w:t>
      </w:r>
      <w:r w:rsidR="009B5F54">
        <w:rPr>
          <w:rFonts w:ascii="Times New Roman" w:eastAsia="PMingLiU" w:hAnsi="Times New Roman" w:cs="Times New Roman"/>
          <w:sz w:val="24"/>
          <w:szCs w:val="24"/>
          <w:lang w:eastAsia="zh-TW"/>
        </w:rPr>
        <w:t>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2169EF37"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780AE02D"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54471E53"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763394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449964E9"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BC10BB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47EC74B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54600D2"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799A538C"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30842B3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597A41C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23A71F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5733088A"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BDB80FB"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0EEFF7C6"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701318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73D7117D" w14:textId="46DF4A91"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7F3C6B32" w14:textId="772A5BE0" w:rsidR="00E5467A" w:rsidRDefault="00E5467A" w:rsidP="00E108D8">
      <w:pPr>
        <w:widowControl/>
        <w:spacing w:after="0" w:line="240" w:lineRule="auto"/>
        <w:jc w:val="both"/>
        <w:rPr>
          <w:rFonts w:ascii="Times New Roman" w:eastAsia="PMingLiU" w:hAnsi="Times New Roman" w:cs="Times New Roman"/>
          <w:sz w:val="24"/>
          <w:szCs w:val="24"/>
          <w:lang w:eastAsia="zh-TW"/>
        </w:rPr>
      </w:pPr>
    </w:p>
    <w:p w14:paraId="2F13A0E1" w14:textId="77777777" w:rsidR="00E5467A" w:rsidRPr="00C6062F" w:rsidRDefault="00E5467A" w:rsidP="00E108D8">
      <w:pPr>
        <w:widowControl/>
        <w:spacing w:after="0" w:line="240" w:lineRule="auto"/>
        <w:jc w:val="both"/>
        <w:rPr>
          <w:rFonts w:ascii="Times New Roman" w:eastAsia="PMingLiU" w:hAnsi="Times New Roman" w:cs="Times New Roman"/>
          <w:sz w:val="24"/>
          <w:szCs w:val="24"/>
          <w:lang w:eastAsia="zh-TW"/>
        </w:rPr>
      </w:pPr>
    </w:p>
    <w:p w14:paraId="3A246335" w14:textId="35636F7D" w:rsidR="00F926B8" w:rsidRDefault="00F926B8" w:rsidP="00CF14A5">
      <w:pPr>
        <w:widowControl/>
        <w:spacing w:after="0" w:line="240" w:lineRule="auto"/>
        <w:jc w:val="both"/>
        <w:rPr>
          <w:rFonts w:ascii="Times New Roman" w:eastAsia="PMingLiU" w:hAnsi="Times New Roman" w:cs="Times New Roman"/>
          <w:b/>
          <w:sz w:val="24"/>
          <w:szCs w:val="24"/>
          <w:lang w:eastAsia="zh-TW"/>
        </w:rPr>
      </w:pPr>
    </w:p>
    <w:p w14:paraId="43DCFBF1" w14:textId="395CDA02" w:rsidR="00CF14A5" w:rsidRDefault="00CF14A5" w:rsidP="00CF14A5">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0FBA1DED" w14:textId="44565F85"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Literature and/or specifications must be submitted upon request; if requested, literature and/or specifications m</w:t>
      </w:r>
      <w:r w:rsidR="00E5467A">
        <w:rPr>
          <w:rFonts w:ascii="Times New Roman" w:eastAsia="PMingLiU" w:hAnsi="Times New Roman" w:cs="Times New Roman"/>
          <w:sz w:val="24"/>
          <w:szCs w:val="24"/>
          <w:lang w:eastAsia="zh-TW"/>
        </w:rPr>
        <w:t>ust be submitted within five</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14:paraId="721ACA9C"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p>
    <w:p w14:paraId="08DBC7C0"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728AB4A3"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p>
    <w:p w14:paraId="4E40D1A4"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3847B841" w14:textId="7D391339"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39684FEE"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9D610D">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For all statewide and agency term contracts: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3" w:history="1">
        <w:r w:rsidR="00D326CD" w:rsidRPr="00DB380E">
          <w:rPr>
            <w:rStyle w:val="Hyperlink"/>
            <w:rFonts w:ascii="Times New Roman" w:hAnsi="Times New Roman" w:cs="Times New Roman"/>
            <w:sz w:val="24"/>
            <w:szCs w:val="24"/>
          </w:rPr>
          <w:t>DOA-OSRAP-EFT@la.gov</w:t>
        </w:r>
      </w:hyperlink>
      <w:hyperlink r:id="rId14"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4520940"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0A39CDC5" w14:textId="77777777" w:rsidR="00334E43" w:rsidRPr="00217E58" w:rsidRDefault="00334E43"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lastRenderedPageBreak/>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AC84AAE" w14:textId="7704726F"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09C25B2C"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9D610D">
        <w:rPr>
          <w:rFonts w:ascii="Times New Roman" w:eastAsia="PMingLiU" w:hAnsi="Times New Roman" w:cs="Times New Roman"/>
          <w:sz w:val="24"/>
          <w:szCs w:val="24"/>
          <w:lang w:eastAsia="zh-TW"/>
        </w:rPr>
        <w:t>State 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BFBAB3E"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E5467A">
        <w:rPr>
          <w:rFonts w:ascii="Times New Roman" w:eastAsia="PMingLiU" w:hAnsi="Times New Roman" w:cs="Times New Roman"/>
          <w:sz w:val="24"/>
          <w:szCs w:val="24"/>
          <w:lang w:eastAsia="zh-TW"/>
        </w:rPr>
        <w:t xml:space="preserve">ture. </w:t>
      </w:r>
      <w:r w:rsidR="00F845CC" w:rsidRPr="00C6062F">
        <w:rPr>
          <w:rFonts w:ascii="Times New Roman" w:eastAsia="PMingLiU" w:hAnsi="Times New Roman" w:cs="Times New Roman"/>
          <w:sz w:val="24"/>
          <w:szCs w:val="24"/>
          <w:lang w:eastAsia="zh-TW"/>
        </w:rPr>
        <w:t xml:space="preserve">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29DCE836"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38E6D757" w14:textId="0F269CEF" w:rsidR="00620014"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7E6D1686" w14:textId="77777777" w:rsidR="00C6062F" w:rsidRPr="00C6062F" w:rsidRDefault="00C6062F"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14381BE0" w14:textId="77CC1861" w:rsidR="00620014" w:rsidRDefault="00620014" w:rsidP="00D0106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w:t>
      </w:r>
      <w:r w:rsidRPr="00C6062F">
        <w:rPr>
          <w:rFonts w:ascii="Times New Roman" w:eastAsia="PMingLiU" w:hAnsi="Times New Roman" w:cs="Times New Roman"/>
          <w:sz w:val="24"/>
          <w:szCs w:val="24"/>
          <w:lang w:eastAsia="zh-TW"/>
        </w:rPr>
        <w:lastRenderedPageBreak/>
        <w:t>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CA5AB67" w14:textId="77777777" w:rsidR="00E5467A" w:rsidRPr="00C6062F" w:rsidRDefault="00E5467A"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4A44AE51" w14:textId="09838348" w:rsidR="00DD690F" w:rsidRDefault="00620014" w:rsidP="00E108D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384AFB47" w14:textId="77777777" w:rsidR="00DD690F" w:rsidRPr="00C6062F" w:rsidRDefault="00DD690F"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20AFADB7" w14:textId="384BC160" w:rsidR="0006658A" w:rsidRDefault="00620014" w:rsidP="00DD690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4D46408A" w14:textId="77777777" w:rsidR="00DD690F" w:rsidRPr="00C6062F" w:rsidRDefault="00DD690F" w:rsidP="00DD690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40B7397A"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Agency, its officers, agents, employees and volunteers shall be named as an additional insure</w:t>
      </w:r>
      <w:r w:rsidR="0006658A">
        <w:rPr>
          <w:rFonts w:ascii="Times New Roman" w:eastAsia="PMingLiU" w:hAnsi="Times New Roman" w:cs="Times New Roman"/>
          <w:sz w:val="24"/>
          <w:szCs w:val="24"/>
          <w:lang w:eastAsia="zh-TW"/>
        </w:rPr>
        <w:t>d as regards negligence by the 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1B1E48B5" w14:textId="439E2C52"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DB344F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0610046C" w:rsidR="00620014"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F864D1F" w14:textId="1E053828" w:rsidR="009D610D"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9481B2B" w14:textId="221EB586" w:rsidR="009D610D"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F269D3D" w14:textId="77777777" w:rsidR="009D610D" w:rsidRPr="00C6062F"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4519AD83"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40562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9D610D">
        <w:rPr>
          <w:rFonts w:ascii="Times New Roman" w:eastAsia="PMingLiU" w:hAnsi="Times New Roman" w:cs="Times New Roman"/>
          <w:sz w:val="24"/>
          <w:szCs w:val="24"/>
          <w:lang w:eastAsia="zh-TW"/>
        </w:rPr>
        <w:t xml:space="preserve"> to the Agency. </w:t>
      </w:r>
      <w:r w:rsidR="00620014" w:rsidRPr="00C6062F">
        <w:rPr>
          <w:rFonts w:ascii="Times New Roman" w:eastAsia="PMingLiU" w:hAnsi="Times New Roman" w:cs="Times New Roman"/>
          <w:sz w:val="24"/>
          <w:szCs w:val="24"/>
          <w:lang w:eastAsia="zh-TW"/>
        </w:rPr>
        <w:t>Ten</w:t>
      </w:r>
      <w:r w:rsidR="0040562D">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w:t>
      </w:r>
      <w:r>
        <w:rPr>
          <w:rFonts w:ascii="Times New Roman" w:eastAsia="PMingLiU" w:hAnsi="Times New Roman" w:cs="Times New Roman"/>
          <w:sz w:val="24"/>
          <w:szCs w:val="24"/>
          <w:lang w:eastAsia="zh-TW"/>
        </w:rPr>
        <w:t xml:space="preserve">  In addition,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 xml:space="preserve">Contractor is required to notify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482338DB"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1A53501" w14:textId="0D6E3651" w:rsidR="000B6392" w:rsidRPr="00F926B8" w:rsidRDefault="00620014" w:rsidP="00F926B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66C991F0" w14:textId="77777777" w:rsidR="000B6392" w:rsidRDefault="000B6392"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b/>
          <w:sz w:val="24"/>
          <w:szCs w:val="24"/>
          <w:lang w:eastAsia="zh-TW"/>
        </w:rPr>
      </w:pPr>
    </w:p>
    <w:p w14:paraId="4D5075C5" w14:textId="791647B3"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3D2DC42E" w:rsidR="00620014" w:rsidRDefault="009D610D"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 xml:space="preserve">nsurance reflecting proof of required coverage.  The Certificates for each insurance policy are to be signed by a person authorized by that insurer to bind coverage on </w:t>
      </w:r>
      <w:r w:rsidR="0040562D">
        <w:rPr>
          <w:rFonts w:ascii="Times New Roman" w:eastAsia="PMingLiU" w:hAnsi="Times New Roman" w:cs="Times New Roman"/>
          <w:sz w:val="24"/>
          <w:szCs w:val="24"/>
          <w:lang w:eastAsia="zh-TW"/>
        </w:rPr>
        <w:t xml:space="preserve">its behalf. </w:t>
      </w:r>
      <w:r w:rsidR="00620014" w:rsidRPr="00CB16E8">
        <w:rPr>
          <w:rFonts w:ascii="Times New Roman" w:eastAsia="PMingLiU" w:hAnsi="Times New Roman" w:cs="Times New Roman"/>
          <w:sz w:val="24"/>
          <w:szCs w:val="24"/>
          <w:lang w:eastAsia="zh-TW"/>
        </w:rPr>
        <w:t>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29DBA174" w:rsidR="00240D56"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State Procurement</w:t>
      </w:r>
    </w:p>
    <w:p w14:paraId="255BC1DC" w14:textId="7C39561D" w:rsidR="00240D56"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1201 N. Third St., Claiborne Bldg. – Suite 2-160</w:t>
      </w:r>
    </w:p>
    <w:p w14:paraId="3EA98FC5" w14:textId="682FB49B" w:rsidR="00E108D8"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Baton Rouge, LA 70802</w:t>
      </w:r>
    </w:p>
    <w:p w14:paraId="37CB286B" w14:textId="5315FB3A" w:rsidR="00240D56" w:rsidRPr="00CB16E8"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Medical Oxygen Cylinders and Related Supplies Regular Delivery - SW</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245AC569"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9D610D">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w:t>
      </w:r>
      <w:r w:rsidR="00E5467A">
        <w:rPr>
          <w:rFonts w:ascii="Times New Roman" w:eastAsia="PMingLiU" w:hAnsi="Times New Roman" w:cs="Times New Roman"/>
          <w:sz w:val="24"/>
          <w:szCs w:val="24"/>
          <w:lang w:eastAsia="zh-TW"/>
        </w:rPr>
        <w:t xml:space="preserve">ion for each insurance policy. </w:t>
      </w:r>
      <w:r w:rsidRPr="00CB16E8">
        <w:rPr>
          <w:rFonts w:ascii="Times New Roman" w:eastAsia="PMingLiU" w:hAnsi="Times New Roman" w:cs="Times New Roman"/>
          <w:sz w:val="24"/>
          <w:szCs w:val="24"/>
          <w:lang w:eastAsia="zh-TW"/>
        </w:rPr>
        <w:t>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66BA45BD"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th</w:t>
      </w:r>
      <w:r w:rsidR="009D610D">
        <w:rPr>
          <w:rFonts w:ascii="Times New Roman" w:eastAsia="PMingLiU" w:hAnsi="Times New Roman" w:cs="Times New Roman"/>
          <w:sz w:val="24"/>
          <w:szCs w:val="24"/>
          <w:lang w:eastAsia="zh-TW"/>
        </w:rPr>
        <w:t xml:space="preserve">e </w:t>
      </w:r>
      <w:r w:rsidRPr="00CB16E8">
        <w:rPr>
          <w:rFonts w:ascii="Times New Roman" w:eastAsia="PMingLiU" w:hAnsi="Times New Roman" w:cs="Times New Roman"/>
          <w:sz w:val="24"/>
          <w:szCs w:val="24"/>
          <w:lang w:eastAsia="zh-TW"/>
        </w:rPr>
        <w:t>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54E37D78" w:rsidR="00620014" w:rsidRPr="00C6062F" w:rsidRDefault="009D610D"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 xml:space="preserve">OR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10AB0B4A"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9D610D" w:rsidRPr="009D610D">
        <w:rPr>
          <w:rFonts w:ascii="Times New Roman" w:eastAsia="PMingLiU" w:hAnsi="Times New Roman" w:cs="Times New Roman"/>
          <w:iCs/>
          <w:sz w:val="24"/>
          <w:szCs w:val="24"/>
          <w:lang w:eastAsia="zh-TW"/>
        </w:rPr>
        <w:t xml:space="preserve">the </w:t>
      </w:r>
      <w:r w:rsidRPr="009D610D">
        <w:rPr>
          <w:rFonts w:ascii="Times New Roman" w:eastAsia="PMingLiU" w:hAnsi="Times New Roman" w:cs="Times New Roman"/>
          <w:iCs/>
          <w:sz w:val="24"/>
          <w:szCs w:val="24"/>
          <w:lang w:eastAsia="zh-TW"/>
        </w:rPr>
        <w:t>Contractor</w:t>
      </w:r>
      <w:r w:rsidRPr="00C6062F">
        <w:rPr>
          <w:rFonts w:ascii="Times New Roman" w:eastAsia="PMingLiU" w:hAnsi="Times New Roman" w:cs="Times New Roman"/>
          <w:iCs/>
          <w:sz w:val="24"/>
          <w:szCs w:val="24"/>
          <w:lang w:eastAsia="zh-TW"/>
        </w:rPr>
        <w:t xml:space="preserve"> is not required to provide or elects not to provide workers compensation coverage, the parties hereby agree that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w:t>
      </w:r>
      <w:r w:rsidR="0006658A">
        <w:rPr>
          <w:rFonts w:ascii="Times New Roman" w:eastAsia="PMingLiU" w:hAnsi="Times New Roman" w:cs="Times New Roman"/>
          <w:iCs/>
          <w:sz w:val="24"/>
          <w:szCs w:val="24"/>
          <w:lang w:eastAsia="zh-TW"/>
        </w:rPr>
        <w:t>ractor is a wholly independent 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hereby agrees to protect, defend, indemnify and hold the State of Louisiana, its departments, agencies, agents and employees harmless from any such assertion or claim that may ar</w:t>
      </w:r>
      <w:r w:rsidR="005D3A15">
        <w:rPr>
          <w:rFonts w:ascii="Times New Roman" w:eastAsia="PMingLiU" w:hAnsi="Times New Roman" w:cs="Times New Roman"/>
          <w:iCs/>
          <w:sz w:val="24"/>
          <w:szCs w:val="24"/>
          <w:lang w:eastAsia="zh-TW"/>
        </w:rPr>
        <w:t>ise from the performance of the</w:t>
      </w:r>
      <w:r w:rsidRPr="00C6062F">
        <w:rPr>
          <w:rFonts w:ascii="Times New Roman" w:eastAsia="PMingLiU" w:hAnsi="Times New Roman" w:cs="Times New Roman"/>
          <w:iCs/>
          <w:sz w:val="24"/>
          <w:szCs w:val="24"/>
          <w:lang w:eastAsia="zh-TW"/>
        </w:rPr>
        <w:t xml:space="preserve"> 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192AA80" w:rsidR="00620014" w:rsidRPr="00CB16E8" w:rsidRDefault="009D610D"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2A7511E0" w14:textId="77777777" w:rsidR="006F5ABB" w:rsidRDefault="009D610D" w:rsidP="002A266D">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0A6F9338" w14:textId="0F221B11" w:rsidR="002A266D" w:rsidRPr="006F5ABB" w:rsidRDefault="002A266D" w:rsidP="006F5ABB">
      <w:pPr>
        <w:widowControl/>
        <w:spacing w:after="0" w:line="240" w:lineRule="auto"/>
        <w:jc w:val="both"/>
        <w:rPr>
          <w:rFonts w:ascii="Times New Roman" w:eastAsia="PMingLiU" w:hAnsi="Times New Roman" w:cs="Times New Roman"/>
          <w:sz w:val="24"/>
          <w:szCs w:val="24"/>
          <w:lang w:eastAsia="zh-TW"/>
        </w:rPr>
      </w:pPr>
      <w:r w:rsidRPr="006F5ABB">
        <w:rPr>
          <w:rFonts w:ascii="Times New Roman" w:eastAsia="PMingLiU" w:hAnsi="Times New Roman" w:cs="Times New Roman"/>
          <w:b/>
          <w:sz w:val="24"/>
          <w:szCs w:val="24"/>
          <w:lang w:eastAsia="zh-TW"/>
        </w:rPr>
        <w:lastRenderedPageBreak/>
        <w:t>Multiple Awards:</w:t>
      </w:r>
    </w:p>
    <w:p w14:paraId="756F8290" w14:textId="590A30DD" w:rsidR="002A266D" w:rsidRPr="00EB1009" w:rsidRDefault="002A266D" w:rsidP="002A266D">
      <w:pPr>
        <w:widowControl/>
        <w:spacing w:after="0" w:line="240" w:lineRule="auto"/>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The State reserves the right to make multiple awards in its best interests. Multiple awards may be in the State</w:t>
      </w:r>
      <w:r w:rsidR="009F10F8" w:rsidRPr="00EB1009">
        <w:rPr>
          <w:rFonts w:ascii="Times New Roman" w:eastAsia="PMingLiU" w:hAnsi="Times New Roman" w:cs="Times New Roman"/>
          <w:sz w:val="24"/>
          <w:szCs w:val="24"/>
          <w:lang w:eastAsia="zh-TW"/>
        </w:rPr>
        <w:t>’</w:t>
      </w:r>
      <w:r w:rsidRPr="00EB1009">
        <w:rPr>
          <w:rFonts w:ascii="Times New Roman" w:eastAsia="PMingLiU" w:hAnsi="Times New Roman" w:cs="Times New Roman"/>
          <w:sz w:val="24"/>
          <w:szCs w:val="24"/>
          <w:lang w:eastAsia="zh-TW"/>
        </w:rPr>
        <w:t xml:space="preserve">s best </w:t>
      </w:r>
      <w:r w:rsidR="0040562D">
        <w:rPr>
          <w:rFonts w:ascii="Times New Roman" w:eastAsia="PMingLiU" w:hAnsi="Times New Roman" w:cs="Times New Roman"/>
          <w:sz w:val="24"/>
          <w:szCs w:val="24"/>
          <w:lang w:eastAsia="zh-TW"/>
        </w:rPr>
        <w:t>interest when awarded to two</w:t>
      </w:r>
      <w:r w:rsidRPr="00EB1009">
        <w:rPr>
          <w:rFonts w:ascii="Times New Roman" w:eastAsia="PMingLiU" w:hAnsi="Times New Roman" w:cs="Times New Roman"/>
          <w:sz w:val="24"/>
          <w:szCs w:val="24"/>
          <w:lang w:eastAsia="zh-TW"/>
        </w:rPr>
        <w:t xml:space="preserve"> or more bidders or </w:t>
      </w:r>
      <w:proofErr w:type="spellStart"/>
      <w:r w:rsidRPr="00EB1009">
        <w:rPr>
          <w:rFonts w:ascii="Times New Roman" w:eastAsia="PMingLiU" w:hAnsi="Times New Roman" w:cs="Times New Roman"/>
          <w:sz w:val="24"/>
          <w:szCs w:val="24"/>
          <w:lang w:eastAsia="zh-TW"/>
        </w:rPr>
        <w:t>offe</w:t>
      </w:r>
      <w:r w:rsidR="009D610D">
        <w:rPr>
          <w:rFonts w:ascii="Times New Roman" w:eastAsia="PMingLiU" w:hAnsi="Times New Roman" w:cs="Times New Roman"/>
          <w:sz w:val="24"/>
          <w:szCs w:val="24"/>
          <w:lang w:eastAsia="zh-TW"/>
        </w:rPr>
        <w:t>rors</w:t>
      </w:r>
      <w:proofErr w:type="spellEnd"/>
      <w:r w:rsidR="009D610D">
        <w:rPr>
          <w:rFonts w:ascii="Times New Roman" w:eastAsia="PMingLiU" w:hAnsi="Times New Roman" w:cs="Times New Roman"/>
          <w:sz w:val="24"/>
          <w:szCs w:val="24"/>
          <w:lang w:eastAsia="zh-TW"/>
        </w:rPr>
        <w:t xml:space="preserve"> for similar products and when</w:t>
      </w:r>
      <w:r w:rsidRPr="00EB1009">
        <w:rPr>
          <w:rFonts w:ascii="Times New Roman" w:eastAsia="PMingLiU" w:hAnsi="Times New Roman" w:cs="Times New Roman"/>
          <w:sz w:val="24"/>
          <w:szCs w:val="24"/>
          <w:lang w:eastAsia="zh-TW"/>
        </w:rPr>
        <w:t xml:space="preserve"> needed for adequate delivery, service or availability.</w:t>
      </w:r>
    </w:p>
    <w:p w14:paraId="09A7CAA2" w14:textId="0C845DEC" w:rsidR="002A266D" w:rsidRPr="00EB1009" w:rsidRDefault="002A266D" w:rsidP="002A266D">
      <w:pPr>
        <w:widowControl/>
        <w:spacing w:after="0" w:line="240" w:lineRule="auto"/>
        <w:jc w:val="both"/>
        <w:rPr>
          <w:rFonts w:ascii="Times New Roman" w:eastAsia="PMingLiU" w:hAnsi="Times New Roman" w:cs="Times New Roman"/>
          <w:sz w:val="24"/>
          <w:szCs w:val="24"/>
          <w:lang w:eastAsia="zh-TW"/>
        </w:rPr>
      </w:pPr>
    </w:p>
    <w:p w14:paraId="1643DEAA" w14:textId="58BDAB29" w:rsidR="00EB1009" w:rsidRDefault="002A266D" w:rsidP="002A266D">
      <w:pPr>
        <w:widowControl/>
        <w:spacing w:after="0" w:line="240" w:lineRule="auto"/>
        <w:jc w:val="both"/>
        <w:rPr>
          <w:rFonts w:ascii="Times New Roman" w:eastAsia="PMingLiU" w:hAnsi="Times New Roman" w:cs="Times New Roman"/>
          <w:szCs w:val="24"/>
          <w:lang w:eastAsia="zh-TW"/>
        </w:rPr>
      </w:pPr>
      <w:r w:rsidRPr="00EB1009">
        <w:rPr>
          <w:rFonts w:ascii="Times New Roman" w:eastAsia="PMingLiU" w:hAnsi="Times New Roman" w:cs="Times New Roman"/>
          <w:sz w:val="24"/>
          <w:szCs w:val="24"/>
          <w:lang w:eastAsia="zh-TW"/>
        </w:rPr>
        <w:t xml:space="preserve">Multiple awards if made, will be based on a review of such factors as past usage, anticipated usage, the reasonableness of </w:t>
      </w:r>
      <w:r w:rsidR="0064373C" w:rsidRPr="00EB1009">
        <w:rPr>
          <w:rFonts w:ascii="Times New Roman" w:eastAsia="PMingLiU" w:hAnsi="Times New Roman" w:cs="Times New Roman"/>
          <w:sz w:val="24"/>
          <w:szCs w:val="24"/>
          <w:lang w:eastAsia="zh-TW"/>
        </w:rPr>
        <w:t>prices, and the need to ensure timely delivery</w:t>
      </w:r>
      <w:r w:rsidR="0064373C" w:rsidRPr="00EB1009">
        <w:rPr>
          <w:rFonts w:ascii="Times New Roman" w:eastAsia="PMingLiU" w:hAnsi="Times New Roman" w:cs="Times New Roman"/>
          <w:szCs w:val="24"/>
          <w:lang w:eastAsia="zh-TW"/>
        </w:rPr>
        <w:t>.</w:t>
      </w:r>
    </w:p>
    <w:p w14:paraId="7F5C2C44" w14:textId="2531873A" w:rsidR="003B5CA1" w:rsidRDefault="003B5CA1" w:rsidP="002A266D">
      <w:pPr>
        <w:widowControl/>
        <w:spacing w:after="0" w:line="240" w:lineRule="auto"/>
        <w:jc w:val="both"/>
        <w:rPr>
          <w:rFonts w:ascii="Times New Roman" w:eastAsia="PMingLiU" w:hAnsi="Times New Roman" w:cs="Times New Roman"/>
          <w:szCs w:val="24"/>
          <w:lang w:eastAsia="zh-TW"/>
        </w:rPr>
      </w:pPr>
    </w:p>
    <w:p w14:paraId="7C0FAA08" w14:textId="2E5FE05A" w:rsidR="003B5CA1" w:rsidRPr="003B5CA1" w:rsidRDefault="003B5CA1" w:rsidP="003B5CA1">
      <w:pPr>
        <w:spacing w:after="0"/>
        <w:rPr>
          <w:rFonts w:ascii="Times New Roman" w:hAnsi="Times New Roman"/>
          <w:b/>
          <w:sz w:val="24"/>
        </w:rPr>
      </w:pPr>
      <w:r w:rsidRPr="003B5CA1">
        <w:rPr>
          <w:rFonts w:ascii="Times New Roman" w:hAnsi="Times New Roman"/>
          <w:b/>
          <w:sz w:val="24"/>
        </w:rPr>
        <w:t>Administrative Fee or Rebate:</w:t>
      </w:r>
    </w:p>
    <w:p w14:paraId="7FFAE572"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 xml:space="preserve">The State shall be due a minimum </w:t>
      </w:r>
      <w:r w:rsidRPr="003E5A1F">
        <w:rPr>
          <w:rFonts w:ascii="Times New Roman" w:hAnsi="Times New Roman"/>
          <w:b/>
          <w:sz w:val="24"/>
        </w:rPr>
        <w:t>1%</w:t>
      </w:r>
      <w:r w:rsidRPr="003E5A1F">
        <w:rPr>
          <w:rFonts w:ascii="Times New Roman" w:hAnsi="Times New Roman"/>
          <w:sz w:val="24"/>
        </w:rPr>
        <w:t xml:space="preserve"> administrative fee or rebate to be payable to the State of Louisiana, Office of State Procurement (OSP) in exchange for the management and facilitation of the contract(s) resulting from this solicitation.  The calculation of the administrative fee or rebate includes any entity receiving contract pricing resulting from the awarded contracts.  The administrative fee or rebate shall be submitted quarterly and shall be based on the total net (gross sales minus returns, credits and deductions) sales made to entities located in the State of Louisiana under the contract.  Initiation and submission of the administrative fee or rebate to OSP is the responsibility of the Contractor without prompting or notification by the State Procurement Analyst (SPA). If these administrative fees or rebates are not submitted in a timely manner, OSP shall have the right to terminate the contract.</w:t>
      </w:r>
    </w:p>
    <w:p w14:paraId="57414006" w14:textId="77777777" w:rsidR="003B5CA1" w:rsidRPr="003E5A1F" w:rsidRDefault="003B5CA1" w:rsidP="003B5CA1">
      <w:pPr>
        <w:spacing w:after="0"/>
        <w:rPr>
          <w:rFonts w:ascii="Times New Roman" w:hAnsi="Times New Roman"/>
          <w:sz w:val="24"/>
        </w:rPr>
      </w:pPr>
    </w:p>
    <w:p w14:paraId="66E81E6B" w14:textId="4268CCDA" w:rsidR="003B5CA1" w:rsidRPr="003E5A1F" w:rsidRDefault="003B5CA1" w:rsidP="003B5CA1">
      <w:pPr>
        <w:spacing w:after="0"/>
        <w:rPr>
          <w:rFonts w:ascii="Times New Roman" w:hAnsi="Times New Roman"/>
          <w:sz w:val="24"/>
        </w:rPr>
      </w:pPr>
      <w:r w:rsidRPr="003E5A1F">
        <w:rPr>
          <w:rFonts w:ascii="Times New Roman" w:hAnsi="Times New Roman"/>
          <w:sz w:val="24"/>
        </w:rPr>
        <w:t>The check is to be made payable to: Louisiana DOA-Office of State Procurement. The check is to be mailed or delivered by courier service to the following address: Office of State Procurement, Attn: OSP Receivables Specialist, 1201 North 3rd Street, Claiborne Building - Suite 2-160, Baton Rouge, LA 70802. The calculation of the administrative fee or rebate shall begin immediately upon execution of this contract and payment shall be made in accordance with the following schedule:</w:t>
      </w:r>
    </w:p>
    <w:p w14:paraId="4987A05C" w14:textId="77777777" w:rsidR="003B5CA1" w:rsidRPr="003E5A1F" w:rsidRDefault="003B5CA1" w:rsidP="003B5CA1">
      <w:pPr>
        <w:spacing w:after="0"/>
        <w:rPr>
          <w:rFonts w:ascii="Times New Roman" w:hAnsi="Times New Roman"/>
          <w:sz w:val="24"/>
        </w:rPr>
      </w:pPr>
    </w:p>
    <w:p w14:paraId="71E3E4E1"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r>
      <w:r w:rsidRPr="003E5A1F">
        <w:rPr>
          <w:rFonts w:ascii="Times New Roman" w:hAnsi="Times New Roman"/>
          <w:b/>
          <w:sz w:val="24"/>
          <w:u w:val="single"/>
        </w:rPr>
        <w:t>Quarter</w:t>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u w:val="single"/>
        </w:rPr>
        <w:t>Payment Period</w:t>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u w:val="single"/>
        </w:rPr>
        <w:t>Payment Due Date</w:t>
      </w:r>
    </w:p>
    <w:p w14:paraId="4ED08F29"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t>First Quarter</w:t>
      </w:r>
      <w:r w:rsidRPr="003E5A1F">
        <w:rPr>
          <w:rFonts w:ascii="Times New Roman" w:hAnsi="Times New Roman"/>
          <w:sz w:val="24"/>
        </w:rPr>
        <w:tab/>
      </w:r>
      <w:r w:rsidRPr="003E5A1F">
        <w:rPr>
          <w:rFonts w:ascii="Times New Roman" w:hAnsi="Times New Roman"/>
          <w:sz w:val="24"/>
        </w:rPr>
        <w:tab/>
      </w:r>
      <w:r w:rsidRPr="003E5A1F">
        <w:rPr>
          <w:rFonts w:ascii="Times New Roman" w:hAnsi="Times New Roman"/>
          <w:sz w:val="24"/>
        </w:rPr>
        <w:tab/>
        <w:t>July 1 through September 30</w:t>
      </w:r>
      <w:r w:rsidRPr="003E5A1F">
        <w:rPr>
          <w:rFonts w:ascii="Times New Roman" w:hAnsi="Times New Roman"/>
          <w:sz w:val="24"/>
        </w:rPr>
        <w:tab/>
      </w:r>
      <w:r w:rsidRPr="003E5A1F">
        <w:rPr>
          <w:rFonts w:ascii="Times New Roman" w:hAnsi="Times New Roman"/>
          <w:sz w:val="24"/>
        </w:rPr>
        <w:tab/>
        <w:t>October 31</w:t>
      </w:r>
    </w:p>
    <w:p w14:paraId="321108D0" w14:textId="60D67A24" w:rsidR="003B5CA1" w:rsidRPr="003E5A1F" w:rsidRDefault="003E5A1F" w:rsidP="003B5CA1">
      <w:pPr>
        <w:spacing w:after="0"/>
        <w:rPr>
          <w:rFonts w:ascii="Times New Roman" w:hAnsi="Times New Roman"/>
          <w:sz w:val="24"/>
        </w:rPr>
      </w:pPr>
      <w:r>
        <w:rPr>
          <w:rFonts w:ascii="Times New Roman" w:hAnsi="Times New Roman"/>
          <w:sz w:val="24"/>
        </w:rPr>
        <w:tab/>
        <w:t>Second Quarter</w:t>
      </w:r>
      <w:r>
        <w:rPr>
          <w:rFonts w:ascii="Times New Roman" w:hAnsi="Times New Roman"/>
          <w:sz w:val="24"/>
        </w:rPr>
        <w:tab/>
      </w:r>
      <w:r>
        <w:rPr>
          <w:rFonts w:ascii="Times New Roman" w:hAnsi="Times New Roman"/>
          <w:sz w:val="24"/>
        </w:rPr>
        <w:tab/>
        <w:t>October 1 through December 31</w:t>
      </w:r>
      <w:r>
        <w:rPr>
          <w:rFonts w:ascii="Times New Roman" w:hAnsi="Times New Roman"/>
          <w:sz w:val="24"/>
        </w:rPr>
        <w:tab/>
      </w:r>
      <w:r w:rsidR="003B5CA1" w:rsidRPr="003E5A1F">
        <w:rPr>
          <w:rFonts w:ascii="Times New Roman" w:hAnsi="Times New Roman"/>
          <w:sz w:val="24"/>
        </w:rPr>
        <w:t>January 31</w:t>
      </w:r>
    </w:p>
    <w:p w14:paraId="528BE323"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t>Third Quarter</w:t>
      </w:r>
      <w:r w:rsidRPr="003E5A1F">
        <w:rPr>
          <w:rFonts w:ascii="Times New Roman" w:hAnsi="Times New Roman"/>
          <w:sz w:val="24"/>
        </w:rPr>
        <w:tab/>
      </w:r>
      <w:r w:rsidRPr="003E5A1F">
        <w:rPr>
          <w:rFonts w:ascii="Times New Roman" w:hAnsi="Times New Roman"/>
          <w:sz w:val="24"/>
        </w:rPr>
        <w:tab/>
      </w:r>
      <w:r w:rsidRPr="003E5A1F">
        <w:rPr>
          <w:rFonts w:ascii="Times New Roman" w:hAnsi="Times New Roman"/>
          <w:sz w:val="24"/>
        </w:rPr>
        <w:tab/>
        <w:t>January 1 through March 31</w:t>
      </w:r>
      <w:r w:rsidRPr="003E5A1F">
        <w:rPr>
          <w:rFonts w:ascii="Times New Roman" w:hAnsi="Times New Roman"/>
          <w:sz w:val="24"/>
        </w:rPr>
        <w:tab/>
      </w:r>
      <w:r w:rsidRPr="003E5A1F">
        <w:rPr>
          <w:rFonts w:ascii="Times New Roman" w:hAnsi="Times New Roman"/>
          <w:sz w:val="24"/>
        </w:rPr>
        <w:tab/>
        <w:t>April 30</w:t>
      </w:r>
    </w:p>
    <w:p w14:paraId="5B958BCE" w14:textId="20D96DC7" w:rsidR="003B5CA1" w:rsidRPr="003E5A1F" w:rsidRDefault="003B5CA1" w:rsidP="003B5CA1">
      <w:pPr>
        <w:spacing w:after="0"/>
        <w:rPr>
          <w:rFonts w:ascii="Times New Roman" w:hAnsi="Times New Roman"/>
          <w:sz w:val="24"/>
        </w:rPr>
      </w:pPr>
      <w:r w:rsidRPr="003E5A1F">
        <w:rPr>
          <w:rFonts w:ascii="Times New Roman" w:hAnsi="Times New Roman"/>
          <w:sz w:val="24"/>
        </w:rPr>
        <w:tab/>
        <w:t>Fourth Quar</w:t>
      </w:r>
      <w:r w:rsidR="003E5A1F">
        <w:rPr>
          <w:rFonts w:ascii="Times New Roman" w:hAnsi="Times New Roman"/>
          <w:sz w:val="24"/>
        </w:rPr>
        <w:t>ter</w:t>
      </w:r>
      <w:r w:rsidR="003E5A1F">
        <w:rPr>
          <w:rFonts w:ascii="Times New Roman" w:hAnsi="Times New Roman"/>
          <w:sz w:val="24"/>
        </w:rPr>
        <w:tab/>
      </w:r>
      <w:r w:rsidR="003E5A1F">
        <w:rPr>
          <w:rFonts w:ascii="Times New Roman" w:hAnsi="Times New Roman"/>
          <w:sz w:val="24"/>
        </w:rPr>
        <w:tab/>
      </w:r>
      <w:r w:rsidR="003E5A1F">
        <w:rPr>
          <w:rFonts w:ascii="Times New Roman" w:hAnsi="Times New Roman"/>
          <w:sz w:val="24"/>
        </w:rPr>
        <w:tab/>
        <w:t>April 1 through June 30</w:t>
      </w:r>
      <w:r w:rsidR="003E5A1F">
        <w:rPr>
          <w:rFonts w:ascii="Times New Roman" w:hAnsi="Times New Roman"/>
          <w:sz w:val="24"/>
        </w:rPr>
        <w:tab/>
      </w:r>
      <w:r w:rsidR="003E5A1F">
        <w:rPr>
          <w:rFonts w:ascii="Times New Roman" w:hAnsi="Times New Roman"/>
          <w:sz w:val="24"/>
        </w:rPr>
        <w:tab/>
      </w:r>
      <w:r w:rsidRPr="003E5A1F">
        <w:rPr>
          <w:rFonts w:ascii="Times New Roman" w:hAnsi="Times New Roman"/>
          <w:sz w:val="24"/>
        </w:rPr>
        <w:t>July 31</w:t>
      </w:r>
    </w:p>
    <w:p w14:paraId="132152BA" w14:textId="77777777" w:rsidR="003B5CA1" w:rsidRPr="003E5A1F" w:rsidRDefault="003B5CA1" w:rsidP="003B5CA1">
      <w:pPr>
        <w:spacing w:after="0"/>
        <w:rPr>
          <w:rFonts w:ascii="Times New Roman" w:hAnsi="Times New Roman"/>
          <w:sz w:val="24"/>
        </w:rPr>
      </w:pPr>
    </w:p>
    <w:p w14:paraId="006F6AD6"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IF VENDOR/CONTRACTOR IS OFFERING A GREATER ADMINISTRATIVE FEE OR REBATE THAN SPECIFIED ABOVE, PLEASE INDICATE THE PERCENTAGE HERE: ____________%</w:t>
      </w:r>
    </w:p>
    <w:p w14:paraId="4D624F3C" w14:textId="77777777" w:rsidR="003B5CA1" w:rsidRDefault="003B5CA1" w:rsidP="003B5CA1">
      <w:pPr>
        <w:spacing w:after="0" w:line="240" w:lineRule="auto"/>
        <w:ind w:left="101" w:right="7354"/>
        <w:jc w:val="both"/>
        <w:rPr>
          <w:rFonts w:ascii="Times New Roman" w:eastAsia="Times New Roman" w:hAnsi="Times New Roman" w:cs="Times New Roman"/>
          <w:b/>
          <w:bCs/>
          <w:spacing w:val="-1"/>
        </w:rPr>
      </w:pPr>
    </w:p>
    <w:p w14:paraId="7F8A2834" w14:textId="0FE44713" w:rsidR="00334E43" w:rsidRDefault="003B5CA1" w:rsidP="00334E43">
      <w:pPr>
        <w:spacing w:before="18" w:after="0" w:line="240" w:lineRule="exact"/>
        <w:rPr>
          <w:rFonts w:ascii="Times New Roman" w:hAnsi="Times New Roman" w:cs="Times New Roman"/>
          <w:b/>
          <w:sz w:val="24"/>
          <w:szCs w:val="24"/>
        </w:rPr>
      </w:pPr>
      <w:r w:rsidRPr="00AE4440">
        <w:rPr>
          <w:rFonts w:ascii="Times New Roman" w:hAnsi="Times New Roman" w:cs="Times New Roman"/>
          <w:b/>
          <w:sz w:val="24"/>
          <w:szCs w:val="24"/>
        </w:rPr>
        <w:t xml:space="preserve">NOTE: CONTRACTOR </w:t>
      </w:r>
      <w:r>
        <w:rPr>
          <w:rFonts w:ascii="Times New Roman" w:hAnsi="Times New Roman" w:cs="Times New Roman"/>
          <w:b/>
          <w:sz w:val="24"/>
          <w:szCs w:val="24"/>
        </w:rPr>
        <w:t>SHALL INDICATE THE STATE CONTRACT NUMBER ON THE REMI</w:t>
      </w:r>
      <w:r w:rsidR="00334E43">
        <w:rPr>
          <w:rFonts w:ascii="Times New Roman" w:hAnsi="Times New Roman" w:cs="Times New Roman"/>
          <w:b/>
          <w:sz w:val="24"/>
          <w:szCs w:val="24"/>
        </w:rPr>
        <w:t>TTANCE. WHEN SUBMITTING ONE REMITTANCE FOR MORE THAN ONE</w:t>
      </w:r>
      <w:r>
        <w:rPr>
          <w:rFonts w:ascii="Times New Roman" w:hAnsi="Times New Roman" w:cs="Times New Roman"/>
          <w:b/>
          <w:sz w:val="24"/>
          <w:szCs w:val="24"/>
        </w:rPr>
        <w:t xml:space="preserve"> CONTRACT, CONTRACTOR SHALL INDICATE ALL STATE CONTRACT </w:t>
      </w:r>
      <w:r w:rsidR="004671BC">
        <w:rPr>
          <w:rFonts w:ascii="Times New Roman" w:hAnsi="Times New Roman" w:cs="Times New Roman"/>
          <w:b/>
          <w:sz w:val="24"/>
          <w:szCs w:val="24"/>
        </w:rPr>
        <w:t>NUMBERS AND THE AMOUNT FOR EACH.</w:t>
      </w:r>
    </w:p>
    <w:p w14:paraId="43875C8C" w14:textId="6CCC1571" w:rsidR="006F5ABB" w:rsidRDefault="006F5ABB" w:rsidP="00334E43">
      <w:pPr>
        <w:spacing w:before="18" w:after="0" w:line="240" w:lineRule="exact"/>
        <w:rPr>
          <w:rFonts w:ascii="Times New Roman" w:hAnsi="Times New Roman" w:cs="Times New Roman"/>
          <w:b/>
          <w:sz w:val="24"/>
          <w:szCs w:val="24"/>
        </w:rPr>
      </w:pPr>
    </w:p>
    <w:p w14:paraId="6C5F7C52" w14:textId="0F160072" w:rsidR="006F5ABB" w:rsidRDefault="006F5ABB" w:rsidP="00334E43">
      <w:pPr>
        <w:spacing w:before="18" w:after="0" w:line="240" w:lineRule="exact"/>
        <w:rPr>
          <w:rFonts w:ascii="Times New Roman" w:hAnsi="Times New Roman" w:cs="Times New Roman"/>
          <w:b/>
          <w:sz w:val="24"/>
          <w:szCs w:val="24"/>
        </w:rPr>
      </w:pPr>
    </w:p>
    <w:p w14:paraId="5A1BCA89" w14:textId="7624F26E" w:rsidR="006F5ABB" w:rsidRDefault="006F5ABB" w:rsidP="00334E43">
      <w:pPr>
        <w:spacing w:before="18" w:after="0" w:line="240" w:lineRule="exact"/>
        <w:rPr>
          <w:rFonts w:ascii="Times New Roman" w:hAnsi="Times New Roman" w:cs="Times New Roman"/>
          <w:b/>
          <w:sz w:val="24"/>
          <w:szCs w:val="24"/>
        </w:rPr>
      </w:pPr>
    </w:p>
    <w:p w14:paraId="027566EB" w14:textId="77777777" w:rsidR="006F5ABB" w:rsidRDefault="006F5ABB" w:rsidP="00334E43">
      <w:pPr>
        <w:spacing w:before="18" w:after="0" w:line="240" w:lineRule="exact"/>
        <w:rPr>
          <w:rFonts w:ascii="Times New Roman" w:hAnsi="Times New Roman" w:cs="Times New Roman"/>
          <w:b/>
          <w:sz w:val="24"/>
          <w:szCs w:val="24"/>
        </w:rPr>
      </w:pPr>
    </w:p>
    <w:p w14:paraId="6E183314" w14:textId="3FF044BF" w:rsidR="00EB1009" w:rsidRPr="00334E43" w:rsidRDefault="00EB1009" w:rsidP="00334E43">
      <w:pPr>
        <w:spacing w:before="18" w:after="0" w:line="240" w:lineRule="exact"/>
        <w:rPr>
          <w:rFonts w:ascii="Times New Roman" w:hAnsi="Times New Roman" w:cs="Times New Roman"/>
          <w:b/>
          <w:sz w:val="24"/>
          <w:szCs w:val="24"/>
        </w:rPr>
      </w:pPr>
      <w:r w:rsidRPr="00EB1009">
        <w:rPr>
          <w:rFonts w:ascii="Times New Roman" w:eastAsia="Times New Roman" w:hAnsi="Times New Roman" w:cs="Times New Roman"/>
          <w:b/>
          <w:sz w:val="24"/>
          <w:szCs w:val="24"/>
        </w:rPr>
        <w:lastRenderedPageBreak/>
        <w:t>Contract Usage Reports:</w:t>
      </w:r>
    </w:p>
    <w:p w14:paraId="316C802D" w14:textId="41353EB0" w:rsidR="00EB1009" w:rsidRPr="00EB1009" w:rsidRDefault="00EB1009" w:rsidP="00EB1009">
      <w:pPr>
        <w:spacing w:after="0" w:line="252" w:lineRule="exact"/>
        <w:ind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  The Contractor shall submit detailed contract usage reports quarterly to the State Procurement Analyst (SPA) for the contract in accordance with the below schedule. Initiation and submission of the quarterly reports to the SPA is responsibility of the Contractor without prompting or notification by the SPA. If these reports are not submitted in a timely manner, the Office of State Procurement (OSP) shall have the right to terminate the contract.</w:t>
      </w:r>
    </w:p>
    <w:p w14:paraId="2A7E0635"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52FB4CA9"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The specific usage report content, scope, and format require</w:t>
      </w:r>
      <w:r>
        <w:rPr>
          <w:rFonts w:ascii="Times New Roman" w:eastAsia="Times New Roman" w:hAnsi="Times New Roman" w:cs="Times New Roman"/>
          <w:sz w:val="24"/>
          <w:szCs w:val="24"/>
        </w:rPr>
        <w:t>ments are available on the OSP</w:t>
      </w:r>
    </w:p>
    <w:p w14:paraId="647DB4CD" w14:textId="05400E56"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website</w:t>
      </w:r>
      <w:proofErr w:type="gramEnd"/>
      <w:r w:rsidRPr="00EB1009">
        <w:rPr>
          <w:rFonts w:ascii="Times New Roman" w:eastAsia="Times New Roman" w:hAnsi="Times New Roman" w:cs="Times New Roman"/>
          <w:sz w:val="24"/>
          <w:szCs w:val="24"/>
        </w:rPr>
        <w:t xml:space="preserve"> under</w:t>
      </w:r>
      <w:r>
        <w:rPr>
          <w:rFonts w:ascii="Times New Roman" w:eastAsia="Times New Roman" w:hAnsi="Times New Roman" w:cs="Times New Roman"/>
          <w:sz w:val="24"/>
          <w:szCs w:val="24"/>
        </w:rPr>
        <w:t xml:space="preserve"> </w:t>
      </w:r>
      <w:r w:rsidR="003B5CA1">
        <w:rPr>
          <w:rFonts w:ascii="Times New Roman" w:eastAsia="Times New Roman" w:hAnsi="Times New Roman" w:cs="Times New Roman"/>
          <w:sz w:val="24"/>
          <w:szCs w:val="24"/>
        </w:rPr>
        <w:t>Vendor Resources/</w:t>
      </w:r>
      <w:r w:rsidRPr="00EB1009">
        <w:rPr>
          <w:rFonts w:ascii="Times New Roman" w:eastAsia="Times New Roman" w:hAnsi="Times New Roman" w:cs="Times New Roman"/>
          <w:sz w:val="24"/>
          <w:szCs w:val="24"/>
        </w:rPr>
        <w:t>Vendor Forms:</w:t>
      </w:r>
    </w:p>
    <w:p w14:paraId="458E03E0" w14:textId="08F0B6C1" w:rsidR="00EB1009" w:rsidRDefault="009B5F54" w:rsidP="00EB1009">
      <w:pPr>
        <w:spacing w:after="0" w:line="252" w:lineRule="exact"/>
        <w:ind w:left="90" w:right="54" w:hanging="101"/>
        <w:rPr>
          <w:rFonts w:ascii="Times New Roman" w:eastAsia="Times New Roman" w:hAnsi="Times New Roman" w:cs="Times New Roman"/>
          <w:sz w:val="24"/>
          <w:szCs w:val="24"/>
        </w:rPr>
      </w:pPr>
      <w:hyperlink r:id="rId15" w:history="1">
        <w:r w:rsidR="003B5CA1" w:rsidRPr="00BF1D3E">
          <w:rPr>
            <w:rStyle w:val="Hyperlink"/>
            <w:rFonts w:ascii="Times New Roman" w:eastAsia="Times New Roman" w:hAnsi="Times New Roman" w:cs="Times New Roman"/>
            <w:sz w:val="24"/>
            <w:szCs w:val="24"/>
          </w:rPr>
          <w:t>https://www.doa.la.gov/doa/osp/vendor-resources/</w:t>
        </w:r>
      </w:hyperlink>
      <w:r w:rsidR="003B5CA1">
        <w:rPr>
          <w:rFonts w:ascii="Times New Roman" w:eastAsia="Times New Roman" w:hAnsi="Times New Roman" w:cs="Times New Roman"/>
          <w:sz w:val="24"/>
          <w:szCs w:val="24"/>
        </w:rPr>
        <w:t xml:space="preserve"> </w:t>
      </w:r>
      <w:r w:rsidR="00EB1009" w:rsidRPr="00EB1009">
        <w:rPr>
          <w:rFonts w:ascii="Times New Roman" w:eastAsia="Times New Roman" w:hAnsi="Times New Roman" w:cs="Times New Roman"/>
          <w:sz w:val="24"/>
          <w:szCs w:val="24"/>
        </w:rPr>
        <w:t xml:space="preserve"> </w:t>
      </w:r>
    </w:p>
    <w:p w14:paraId="504D684A"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4E62D009"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In addition, the person’s name who compiled the report and the</w:t>
      </w:r>
      <w:r>
        <w:rPr>
          <w:rFonts w:ascii="Times New Roman" w:eastAsia="Times New Roman" w:hAnsi="Times New Roman" w:cs="Times New Roman"/>
          <w:sz w:val="24"/>
          <w:szCs w:val="24"/>
        </w:rPr>
        <w:t>ir contact information shall be</w:t>
      </w:r>
    </w:p>
    <w:p w14:paraId="74377553" w14:textId="1DD770B7" w:rsid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provided</w:t>
      </w:r>
      <w:proofErr w:type="gramEnd"/>
      <w:r w:rsidRPr="00EB1009">
        <w:rPr>
          <w:rFonts w:ascii="Times New Roman" w:eastAsia="Times New Roman" w:hAnsi="Times New Roman" w:cs="Times New Roman"/>
          <w:sz w:val="24"/>
          <w:szCs w:val="24"/>
        </w:rPr>
        <w:t xml:space="preserve">. </w:t>
      </w:r>
    </w:p>
    <w:p w14:paraId="6D0BCCBB"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0E9CDFE6"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OSP reserves the right to request copies of any purchase orders issued against the contract.</w:t>
      </w:r>
    </w:p>
    <w:p w14:paraId="29129B8B" w14:textId="237CD7B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36997B45"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The usage reports shall be submitted utilizing this format or an equivalent format </w:t>
      </w:r>
      <w:r>
        <w:rPr>
          <w:rFonts w:ascii="Times New Roman" w:eastAsia="Times New Roman" w:hAnsi="Times New Roman" w:cs="Times New Roman"/>
          <w:sz w:val="24"/>
          <w:szCs w:val="24"/>
        </w:rPr>
        <w:t>that has been</w:t>
      </w:r>
    </w:p>
    <w:p w14:paraId="12A5926C" w14:textId="1FC261CB"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pre-approved</w:t>
      </w:r>
      <w:proofErr w:type="gramEnd"/>
      <w:r w:rsidRPr="00EB1009">
        <w:rPr>
          <w:rFonts w:ascii="Times New Roman" w:eastAsia="Times New Roman" w:hAnsi="Times New Roman" w:cs="Times New Roman"/>
          <w:sz w:val="24"/>
          <w:szCs w:val="24"/>
        </w:rPr>
        <w:t xml:space="preserve"> by OSP.</w:t>
      </w:r>
    </w:p>
    <w:p w14:paraId="74EF03C9"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10712BF6" w14:textId="2C5CE913" w:rsidR="00EB1009" w:rsidRPr="00EB1009" w:rsidRDefault="003B5CA1" w:rsidP="00EB1009">
      <w:pPr>
        <w:spacing w:after="0" w:line="252" w:lineRule="exact"/>
        <w:ind w:left="90" w:right="54"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for submittal of usage r</w:t>
      </w:r>
      <w:r w:rsidR="00EB1009" w:rsidRPr="00EB1009">
        <w:rPr>
          <w:rFonts w:ascii="Times New Roman" w:eastAsia="Times New Roman" w:hAnsi="Times New Roman" w:cs="Times New Roman"/>
          <w:sz w:val="24"/>
          <w:szCs w:val="24"/>
        </w:rPr>
        <w:t>eports</w:t>
      </w:r>
      <w:r w:rsidR="00334E43">
        <w:rPr>
          <w:rFonts w:ascii="Times New Roman" w:eastAsia="Times New Roman" w:hAnsi="Times New Roman" w:cs="Times New Roman"/>
          <w:sz w:val="24"/>
          <w:szCs w:val="24"/>
        </w:rPr>
        <w:t>:</w:t>
      </w:r>
    </w:p>
    <w:p w14:paraId="60B02C3F"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619E4959" w14:textId="062E5C64" w:rsidR="00EB1009" w:rsidRPr="00EB1009" w:rsidRDefault="00EB1009" w:rsidP="00EB1009">
      <w:pPr>
        <w:spacing w:after="0"/>
        <w:rPr>
          <w:rFonts w:ascii="Times New Roman" w:hAnsi="Times New Roman"/>
          <w:sz w:val="24"/>
          <w:szCs w:val="24"/>
        </w:rPr>
      </w:pPr>
      <w:r w:rsidRPr="00EB1009">
        <w:rPr>
          <w:rFonts w:ascii="Times New Roman" w:hAnsi="Times New Roman"/>
          <w:b/>
          <w:sz w:val="24"/>
          <w:szCs w:val="24"/>
        </w:rPr>
        <w:tab/>
      </w:r>
      <w:r w:rsidRPr="00EB1009">
        <w:rPr>
          <w:rFonts w:ascii="Times New Roman" w:hAnsi="Times New Roman"/>
          <w:b/>
          <w:sz w:val="24"/>
          <w:szCs w:val="24"/>
          <w:u w:val="single"/>
        </w:rPr>
        <w:t>Quarter</w:t>
      </w:r>
      <w:r w:rsidRPr="00EB1009">
        <w:rPr>
          <w:rFonts w:ascii="Times New Roman" w:hAnsi="Times New Roman"/>
          <w:b/>
          <w:sz w:val="24"/>
          <w:szCs w:val="24"/>
        </w:rPr>
        <w:tab/>
      </w:r>
      <w:r w:rsidRPr="00EB1009">
        <w:rPr>
          <w:rFonts w:ascii="Times New Roman" w:hAnsi="Times New Roman"/>
          <w:b/>
          <w:sz w:val="24"/>
          <w:szCs w:val="24"/>
        </w:rPr>
        <w:tab/>
      </w:r>
      <w:r w:rsidRPr="00EB1009">
        <w:rPr>
          <w:rFonts w:ascii="Times New Roman" w:hAnsi="Times New Roman"/>
          <w:b/>
          <w:sz w:val="24"/>
          <w:szCs w:val="24"/>
        </w:rPr>
        <w:tab/>
      </w:r>
      <w:r w:rsidRPr="00EB1009">
        <w:rPr>
          <w:rFonts w:ascii="Times New Roman" w:hAnsi="Times New Roman"/>
          <w:b/>
          <w:sz w:val="24"/>
          <w:szCs w:val="24"/>
          <w:u w:val="single"/>
        </w:rPr>
        <w:t>Reporting Period</w:t>
      </w:r>
      <w:r w:rsidRPr="00EB1009">
        <w:rPr>
          <w:rFonts w:ascii="Times New Roman" w:hAnsi="Times New Roman"/>
          <w:b/>
          <w:sz w:val="24"/>
          <w:szCs w:val="24"/>
        </w:rPr>
        <w:tab/>
      </w:r>
      <w:r w:rsidRPr="00EB1009">
        <w:rPr>
          <w:rFonts w:ascii="Times New Roman" w:hAnsi="Times New Roman"/>
          <w:b/>
          <w:sz w:val="24"/>
          <w:szCs w:val="24"/>
        </w:rPr>
        <w:tab/>
      </w:r>
      <w:r w:rsidR="003B5CA1">
        <w:rPr>
          <w:rFonts w:ascii="Times New Roman" w:hAnsi="Times New Roman"/>
          <w:b/>
          <w:sz w:val="24"/>
          <w:szCs w:val="24"/>
        </w:rPr>
        <w:tab/>
      </w:r>
      <w:r w:rsidRPr="00EB1009">
        <w:rPr>
          <w:rFonts w:ascii="Times New Roman" w:hAnsi="Times New Roman"/>
          <w:b/>
          <w:sz w:val="24"/>
          <w:szCs w:val="24"/>
          <w:u w:val="single"/>
        </w:rPr>
        <w:t xml:space="preserve"> Due Date</w:t>
      </w:r>
    </w:p>
    <w:p w14:paraId="1070BAB8" w14:textId="77777777"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First Quarter</w:t>
      </w:r>
      <w:r w:rsidRPr="00EB1009">
        <w:rPr>
          <w:rFonts w:ascii="Times New Roman" w:hAnsi="Times New Roman"/>
          <w:sz w:val="24"/>
          <w:szCs w:val="24"/>
        </w:rPr>
        <w:tab/>
      </w:r>
      <w:r w:rsidRPr="00EB1009">
        <w:rPr>
          <w:rFonts w:ascii="Times New Roman" w:hAnsi="Times New Roman"/>
          <w:sz w:val="24"/>
          <w:szCs w:val="24"/>
        </w:rPr>
        <w:tab/>
      </w:r>
      <w:r w:rsidRPr="00EB1009">
        <w:rPr>
          <w:rFonts w:ascii="Times New Roman" w:hAnsi="Times New Roman"/>
          <w:sz w:val="24"/>
          <w:szCs w:val="24"/>
        </w:rPr>
        <w:tab/>
        <w:t>July 1 through September 30</w:t>
      </w:r>
      <w:r w:rsidRPr="00EB1009">
        <w:rPr>
          <w:rFonts w:ascii="Times New Roman" w:hAnsi="Times New Roman"/>
          <w:sz w:val="24"/>
          <w:szCs w:val="24"/>
        </w:rPr>
        <w:tab/>
      </w:r>
      <w:r w:rsidRPr="00EB1009">
        <w:rPr>
          <w:rFonts w:ascii="Times New Roman" w:hAnsi="Times New Roman"/>
          <w:sz w:val="24"/>
          <w:szCs w:val="24"/>
        </w:rPr>
        <w:tab/>
        <w:t>October 31</w:t>
      </w:r>
    </w:p>
    <w:p w14:paraId="4FB7E116" w14:textId="5402CF42" w:rsidR="00EB1009" w:rsidRPr="00EB1009" w:rsidRDefault="00EB1009" w:rsidP="00EB1009">
      <w:pPr>
        <w:spacing w:after="0"/>
        <w:rPr>
          <w:rFonts w:ascii="Times New Roman" w:hAnsi="Times New Roman"/>
          <w:sz w:val="24"/>
          <w:szCs w:val="24"/>
        </w:rPr>
      </w:pPr>
      <w:r>
        <w:rPr>
          <w:rFonts w:ascii="Times New Roman" w:hAnsi="Times New Roman"/>
          <w:sz w:val="24"/>
          <w:szCs w:val="24"/>
        </w:rPr>
        <w:tab/>
        <w:t>Second Quarter</w:t>
      </w:r>
      <w:r>
        <w:rPr>
          <w:rFonts w:ascii="Times New Roman" w:hAnsi="Times New Roman"/>
          <w:sz w:val="24"/>
          <w:szCs w:val="24"/>
        </w:rPr>
        <w:tab/>
      </w:r>
      <w:r>
        <w:rPr>
          <w:rFonts w:ascii="Times New Roman" w:hAnsi="Times New Roman"/>
          <w:sz w:val="24"/>
          <w:szCs w:val="24"/>
        </w:rPr>
        <w:tab/>
        <w:t>October 1 through December 31</w:t>
      </w:r>
      <w:r>
        <w:rPr>
          <w:rFonts w:ascii="Times New Roman" w:hAnsi="Times New Roman"/>
          <w:sz w:val="24"/>
          <w:szCs w:val="24"/>
        </w:rPr>
        <w:tab/>
      </w:r>
      <w:r w:rsidRPr="00EB1009">
        <w:rPr>
          <w:rFonts w:ascii="Times New Roman" w:hAnsi="Times New Roman"/>
          <w:sz w:val="24"/>
          <w:szCs w:val="24"/>
        </w:rPr>
        <w:t>January 31</w:t>
      </w:r>
    </w:p>
    <w:p w14:paraId="5C42E454" w14:textId="77777777"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Third Quarter</w:t>
      </w:r>
      <w:r w:rsidRPr="00EB1009">
        <w:rPr>
          <w:rFonts w:ascii="Times New Roman" w:hAnsi="Times New Roman"/>
          <w:sz w:val="24"/>
          <w:szCs w:val="24"/>
        </w:rPr>
        <w:tab/>
      </w:r>
      <w:r w:rsidRPr="00EB1009">
        <w:rPr>
          <w:rFonts w:ascii="Times New Roman" w:hAnsi="Times New Roman"/>
          <w:sz w:val="24"/>
          <w:szCs w:val="24"/>
        </w:rPr>
        <w:tab/>
      </w:r>
      <w:r w:rsidRPr="00EB1009">
        <w:rPr>
          <w:rFonts w:ascii="Times New Roman" w:hAnsi="Times New Roman"/>
          <w:sz w:val="24"/>
          <w:szCs w:val="24"/>
        </w:rPr>
        <w:tab/>
        <w:t>January 1 through March 31</w:t>
      </w:r>
      <w:r w:rsidRPr="00EB1009">
        <w:rPr>
          <w:rFonts w:ascii="Times New Roman" w:hAnsi="Times New Roman"/>
          <w:sz w:val="24"/>
          <w:szCs w:val="24"/>
        </w:rPr>
        <w:tab/>
      </w:r>
      <w:r w:rsidRPr="00EB1009">
        <w:rPr>
          <w:rFonts w:ascii="Times New Roman" w:hAnsi="Times New Roman"/>
          <w:sz w:val="24"/>
          <w:szCs w:val="24"/>
        </w:rPr>
        <w:tab/>
        <w:t>April 30</w:t>
      </w:r>
    </w:p>
    <w:p w14:paraId="0D3E5478" w14:textId="67CAC889"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Fourth Quar</w:t>
      </w:r>
      <w:r>
        <w:rPr>
          <w:rFonts w:ascii="Times New Roman" w:hAnsi="Times New Roman"/>
          <w:sz w:val="24"/>
          <w:szCs w:val="24"/>
        </w:rPr>
        <w:t>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1 through June 30</w:t>
      </w:r>
      <w:r>
        <w:rPr>
          <w:rFonts w:ascii="Times New Roman" w:hAnsi="Times New Roman"/>
          <w:sz w:val="24"/>
          <w:szCs w:val="24"/>
        </w:rPr>
        <w:tab/>
      </w:r>
      <w:r>
        <w:rPr>
          <w:rFonts w:ascii="Times New Roman" w:hAnsi="Times New Roman"/>
          <w:sz w:val="24"/>
          <w:szCs w:val="24"/>
        </w:rPr>
        <w:tab/>
      </w:r>
      <w:r w:rsidRPr="00EB1009">
        <w:rPr>
          <w:rFonts w:ascii="Times New Roman" w:hAnsi="Times New Roman"/>
          <w:sz w:val="24"/>
          <w:szCs w:val="24"/>
        </w:rPr>
        <w:t>July 31</w:t>
      </w:r>
    </w:p>
    <w:p w14:paraId="2B7A011B" w14:textId="203E951A" w:rsidR="0064373C" w:rsidRPr="00EB1009" w:rsidRDefault="0064373C" w:rsidP="002A266D">
      <w:pPr>
        <w:widowControl/>
        <w:spacing w:after="0" w:line="240" w:lineRule="auto"/>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 xml:space="preserve"> </w:t>
      </w:r>
    </w:p>
    <w:p w14:paraId="02502B33" w14:textId="279738EE" w:rsidR="0064373C" w:rsidRPr="00EB1009" w:rsidRDefault="0064373C" w:rsidP="0064373C">
      <w:pPr>
        <w:spacing w:after="0" w:line="252" w:lineRule="exact"/>
        <w:ind w:right="45"/>
        <w:rPr>
          <w:rFonts w:ascii="Times New Roman" w:eastAsia="Times New Roman" w:hAnsi="Times New Roman" w:cs="Times New Roman"/>
          <w:b/>
          <w:sz w:val="24"/>
          <w:szCs w:val="24"/>
        </w:rPr>
      </w:pPr>
      <w:r w:rsidRPr="00EB1009">
        <w:rPr>
          <w:rFonts w:ascii="Times New Roman" w:eastAsia="Times New Roman" w:hAnsi="Times New Roman" w:cs="Times New Roman"/>
          <w:b/>
          <w:sz w:val="24"/>
          <w:szCs w:val="24"/>
        </w:rPr>
        <w:t>Inventory:</w:t>
      </w:r>
    </w:p>
    <w:p w14:paraId="2FFB484E" w14:textId="07A2723C" w:rsidR="002C7C24" w:rsidRPr="00EB1009" w:rsidRDefault="0064373C" w:rsidP="0064373C">
      <w:pPr>
        <w:spacing w:after="0" w:line="252" w:lineRule="exact"/>
        <w:ind w:right="45"/>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The Contractor shall be required to maintain, or have available for his own use an inventory sufficient to </w:t>
      </w:r>
      <w:r w:rsidR="0040562D">
        <w:rPr>
          <w:rFonts w:ascii="Times New Roman" w:eastAsia="Times New Roman" w:hAnsi="Times New Roman" w:cs="Times New Roman"/>
          <w:sz w:val="24"/>
          <w:szCs w:val="24"/>
        </w:rPr>
        <w:t>make shipment within 12 to 24</w:t>
      </w:r>
      <w:r w:rsidRPr="00EB1009">
        <w:rPr>
          <w:rFonts w:ascii="Times New Roman" w:eastAsia="Times New Roman" w:hAnsi="Times New Roman" w:cs="Times New Roman"/>
          <w:sz w:val="24"/>
          <w:szCs w:val="24"/>
        </w:rPr>
        <w:t xml:space="preserve"> hours after receipt of order (ARO). </w:t>
      </w:r>
    </w:p>
    <w:p w14:paraId="731CB221" w14:textId="77777777" w:rsidR="0064373C" w:rsidRPr="00EB1009" w:rsidRDefault="0064373C" w:rsidP="0064373C">
      <w:pPr>
        <w:spacing w:after="0" w:line="252" w:lineRule="exact"/>
        <w:ind w:right="45"/>
        <w:rPr>
          <w:rFonts w:ascii="Times New Roman" w:eastAsia="Times New Roman" w:hAnsi="Times New Roman" w:cs="Times New Roman"/>
          <w:b/>
          <w:sz w:val="24"/>
          <w:szCs w:val="24"/>
        </w:rPr>
      </w:pPr>
    </w:p>
    <w:p w14:paraId="5FB4B5F9" w14:textId="5E40D7EB" w:rsidR="00E108D8" w:rsidRPr="00EB1009" w:rsidRDefault="00EB1009" w:rsidP="00EB1009">
      <w:pPr>
        <w:spacing w:after="0"/>
        <w:ind w:left="-90" w:right="90" w:firstLine="90"/>
        <w:rPr>
          <w:rFonts w:ascii="Times New Roman" w:hAnsi="Times New Roman"/>
          <w:b/>
          <w:bCs/>
          <w:sz w:val="24"/>
          <w:szCs w:val="24"/>
        </w:rPr>
      </w:pPr>
      <w:r w:rsidRPr="00EB1009">
        <w:rPr>
          <w:rFonts w:ascii="Times New Roman" w:hAnsi="Times New Roman"/>
          <w:b/>
          <w:bCs/>
          <w:sz w:val="24"/>
          <w:szCs w:val="24"/>
        </w:rPr>
        <w:t>Cooperative Purchase:</w:t>
      </w:r>
    </w:p>
    <w:p w14:paraId="32B5EF45" w14:textId="77777777" w:rsidR="00E108D8" w:rsidRPr="00EB1009" w:rsidRDefault="00E108D8" w:rsidP="00EB1009">
      <w:pPr>
        <w:spacing w:after="0"/>
        <w:ind w:right="90"/>
        <w:rPr>
          <w:rFonts w:ascii="Times New Roman" w:hAnsi="Times New Roman"/>
          <w:bCs/>
          <w:sz w:val="24"/>
          <w:szCs w:val="24"/>
        </w:rPr>
      </w:pPr>
      <w:r w:rsidRPr="00EB1009">
        <w:rPr>
          <w:rFonts w:ascii="Times New Roman" w:hAnsi="Times New Roman"/>
          <w:bCs/>
          <w:sz w:val="24"/>
          <w:szCs w:val="24"/>
        </w:rPr>
        <w:t>It is the intent of the Office of State Procurement (OSP) to accommodate cooperative purchasing in any contract awarded from this solicitation.</w:t>
      </w:r>
    </w:p>
    <w:p w14:paraId="08A8ED6E" w14:textId="77777777" w:rsidR="00E108D8" w:rsidRPr="00EB1009" w:rsidRDefault="00E108D8" w:rsidP="00EB1009">
      <w:pPr>
        <w:spacing w:after="0"/>
        <w:ind w:right="90"/>
        <w:rPr>
          <w:rFonts w:ascii="Times New Roman" w:hAnsi="Times New Roman"/>
          <w:bCs/>
          <w:sz w:val="24"/>
          <w:szCs w:val="24"/>
        </w:rPr>
      </w:pPr>
    </w:p>
    <w:p w14:paraId="53A953C0" w14:textId="77777777" w:rsidR="00E108D8" w:rsidRPr="00EB1009" w:rsidRDefault="00E108D8" w:rsidP="00EB1009">
      <w:pPr>
        <w:spacing w:after="0"/>
        <w:ind w:right="90"/>
        <w:rPr>
          <w:rFonts w:ascii="Times New Roman" w:hAnsi="Times New Roman"/>
          <w:bCs/>
          <w:sz w:val="24"/>
          <w:szCs w:val="24"/>
        </w:rPr>
      </w:pPr>
      <w:r w:rsidRPr="00EB1009">
        <w:rPr>
          <w:rFonts w:ascii="Times New Roman" w:hAnsi="Times New Roman"/>
          <w:bCs/>
          <w:sz w:val="24"/>
          <w:szCs w:val="24"/>
        </w:rPr>
        <w:t>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w:t>
      </w:r>
    </w:p>
    <w:p w14:paraId="21FECED5" w14:textId="77777777" w:rsidR="00E108D8" w:rsidRPr="00EB1009" w:rsidRDefault="00E108D8" w:rsidP="00E108D8">
      <w:pPr>
        <w:spacing w:after="0"/>
        <w:ind w:left="-90" w:right="90"/>
        <w:rPr>
          <w:rFonts w:ascii="Times New Roman" w:hAnsi="Times New Roman"/>
          <w:bCs/>
          <w:sz w:val="24"/>
          <w:szCs w:val="24"/>
        </w:rPr>
      </w:pPr>
    </w:p>
    <w:p w14:paraId="4751924D" w14:textId="77777777" w:rsidR="00E108D8" w:rsidRPr="00EB1009" w:rsidRDefault="00E108D8" w:rsidP="00E108D8">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Political Subdivisions of the State include, but are not limited to, parish governments, municipal governments, school districts, human service districts, local governments and public utilities.</w:t>
      </w:r>
    </w:p>
    <w:p w14:paraId="1F667468" w14:textId="77777777" w:rsidR="00E108D8" w:rsidRPr="00EB1009" w:rsidRDefault="00E108D8" w:rsidP="00E108D8">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Quasi State Agencies include, but are not limited to, non-profit or for-profit organizations created by the State of Louisiana or any political subdivision or agency thereof, or any special district or authority, or unit of local government, to perform a public purpose.</w:t>
      </w:r>
    </w:p>
    <w:p w14:paraId="02B7BB92" w14:textId="6149B88B" w:rsidR="00E108D8" w:rsidRPr="00EB1009" w:rsidRDefault="00E108D8" w:rsidP="00EB1009">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 xml:space="preserve">External Procurement Units include, but are not limited to, buying organizations not located in the State of Louisiana, which, if located in the State, would qualify as a public </w:t>
      </w:r>
      <w:r w:rsidRPr="00EB1009">
        <w:rPr>
          <w:rFonts w:ascii="Times New Roman" w:hAnsi="Times New Roman"/>
          <w:bCs/>
          <w:sz w:val="24"/>
          <w:szCs w:val="24"/>
        </w:rPr>
        <w:lastRenderedPageBreak/>
        <w:t>procurement unit.</w:t>
      </w:r>
    </w:p>
    <w:p w14:paraId="643989B4" w14:textId="77777777" w:rsidR="00EB1009" w:rsidRPr="00EB1009" w:rsidRDefault="00EB1009" w:rsidP="00EB1009">
      <w:pPr>
        <w:pStyle w:val="ListParagraph"/>
        <w:spacing w:after="0"/>
        <w:ind w:left="450" w:right="90"/>
        <w:rPr>
          <w:rFonts w:ascii="Times New Roman" w:hAnsi="Times New Roman"/>
          <w:bCs/>
          <w:sz w:val="24"/>
          <w:szCs w:val="24"/>
        </w:rPr>
      </w:pPr>
    </w:p>
    <w:p w14:paraId="5DA37281" w14:textId="75D563F3" w:rsidR="00E108D8" w:rsidRPr="00EB1009" w:rsidRDefault="00E108D8" w:rsidP="00EB1009">
      <w:pPr>
        <w:widowControl/>
        <w:spacing w:after="0" w:line="240" w:lineRule="auto"/>
        <w:jc w:val="both"/>
        <w:rPr>
          <w:rFonts w:ascii="Times New Roman" w:eastAsia="PMingLiU" w:hAnsi="Times New Roman" w:cs="Times New Roman"/>
          <w:sz w:val="24"/>
          <w:szCs w:val="24"/>
          <w:lang w:eastAsia="zh-TW"/>
        </w:rPr>
      </w:pPr>
      <w:r w:rsidRPr="00EB1009">
        <w:rPr>
          <w:rFonts w:ascii="Times New Roman" w:hAnsi="Times New Roman"/>
          <w:bCs/>
          <w:sz w:val="24"/>
          <w:szCs w:val="24"/>
        </w:rPr>
        <w:t xml:space="preserve">The current list of approved cooperating purchasing entities (including political subdivisions, quasi state agencies and external procurement units) is maintained and regularly updated on the OSP website at: </w:t>
      </w:r>
      <w:hyperlink r:id="rId16" w:history="1">
        <w:r w:rsidR="004671BC" w:rsidRPr="00BF1D3E">
          <w:rPr>
            <w:rStyle w:val="Hyperlink"/>
            <w:rFonts w:ascii="Times New Roman" w:hAnsi="Times New Roman"/>
            <w:bCs/>
            <w:sz w:val="24"/>
            <w:szCs w:val="24"/>
          </w:rPr>
          <w:t>https://www.doa.la.gov/doa/osp/agency-resources/purchasing/approved-quasi-units/</w:t>
        </w:r>
      </w:hyperlink>
      <w:r w:rsidR="004671BC">
        <w:rPr>
          <w:rFonts w:ascii="Times New Roman" w:hAnsi="Times New Roman"/>
          <w:bCs/>
          <w:sz w:val="24"/>
          <w:szCs w:val="24"/>
        </w:rPr>
        <w:t xml:space="preserve"> </w:t>
      </w:r>
      <w:r w:rsidR="003B5CA1">
        <w:rPr>
          <w:rFonts w:ascii="Times New Roman" w:hAnsi="Times New Roman"/>
          <w:bCs/>
          <w:sz w:val="24"/>
          <w:szCs w:val="24"/>
        </w:rPr>
        <w:t xml:space="preserve"> </w:t>
      </w:r>
      <w:r w:rsidRPr="00EB1009">
        <w:rPr>
          <w:rFonts w:ascii="Times New Roman" w:hAnsi="Times New Roman"/>
          <w:bCs/>
          <w:sz w:val="24"/>
          <w:szCs w:val="24"/>
        </w:rPr>
        <w:t xml:space="preserve"> and may be used as a reference.</w:t>
      </w:r>
      <w:r w:rsidRPr="00EB1009">
        <w:rPr>
          <w:rFonts w:ascii="Times New Roman" w:eastAsia="PMingLiU" w:hAnsi="Times New Roman" w:cs="Times New Roman"/>
          <w:sz w:val="24"/>
          <w:szCs w:val="24"/>
          <w:lang w:eastAsia="zh-TW"/>
        </w:rPr>
        <w:t xml:space="preserve"> </w:t>
      </w:r>
    </w:p>
    <w:p w14:paraId="626CADFC" w14:textId="77777777" w:rsidR="00E108D8" w:rsidRPr="00EB1009" w:rsidRDefault="00E108D8" w:rsidP="00E108D8">
      <w:pPr>
        <w:spacing w:after="0"/>
        <w:ind w:left="-90"/>
        <w:rPr>
          <w:rFonts w:ascii="Times New Roman" w:hAnsi="Times New Roman"/>
          <w:bCs/>
          <w:sz w:val="24"/>
          <w:szCs w:val="24"/>
        </w:rPr>
      </w:pPr>
    </w:p>
    <w:p w14:paraId="7E5B7555" w14:textId="77777777" w:rsidR="00E108D8" w:rsidRPr="00EB1009" w:rsidRDefault="00E108D8" w:rsidP="00E108D8">
      <w:pPr>
        <w:widowControl/>
        <w:spacing w:after="0" w:line="240" w:lineRule="auto"/>
        <w:ind w:left="-90"/>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Bidders or contractors may prospectively choose to partially or entirely ‘opt-out’ of accommodating cooperative purchasing for such contract(s) by sending formal written notification of same to the Office of State Procurement. This notification should clearly specify which individual type(s) of cooperative purchasing entities the bidder/contractor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15B14773" w14:textId="77777777" w:rsidR="00E108D8" w:rsidRPr="00EB1009" w:rsidRDefault="00E108D8" w:rsidP="00E108D8">
      <w:pPr>
        <w:widowControl/>
        <w:spacing w:after="0" w:line="240" w:lineRule="auto"/>
        <w:ind w:left="-90"/>
        <w:jc w:val="both"/>
        <w:rPr>
          <w:rFonts w:ascii="Times New Roman" w:eastAsia="PMingLiU" w:hAnsi="Times New Roman" w:cs="Times New Roman"/>
          <w:sz w:val="24"/>
          <w:szCs w:val="24"/>
          <w:lang w:eastAsia="zh-TW"/>
        </w:rPr>
      </w:pPr>
    </w:p>
    <w:p w14:paraId="32B8CF74" w14:textId="77777777" w:rsidR="00EB1009" w:rsidRPr="00EB1009" w:rsidRDefault="00E108D8" w:rsidP="00EB1009">
      <w:pPr>
        <w:widowControl/>
        <w:spacing w:after="0" w:line="240" w:lineRule="auto"/>
        <w:ind w:left="-90"/>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BA1CAFC" w14:textId="77777777" w:rsidR="00EB1009" w:rsidRPr="00EB1009" w:rsidRDefault="00EB1009" w:rsidP="00EB1009">
      <w:pPr>
        <w:widowControl/>
        <w:spacing w:after="0" w:line="240" w:lineRule="auto"/>
        <w:ind w:left="-90"/>
        <w:jc w:val="both"/>
        <w:rPr>
          <w:rFonts w:ascii="Times New Roman" w:eastAsia="PMingLiU" w:hAnsi="Times New Roman" w:cs="Times New Roman"/>
          <w:sz w:val="24"/>
          <w:szCs w:val="24"/>
          <w:lang w:eastAsia="zh-TW"/>
        </w:rPr>
      </w:pPr>
    </w:p>
    <w:p w14:paraId="5541980A" w14:textId="6C91FA89" w:rsidR="00EB1009" w:rsidRPr="00EB1009" w:rsidRDefault="00EB1009" w:rsidP="00EB1009">
      <w:pPr>
        <w:spacing w:before="18" w:after="0" w:line="240" w:lineRule="exact"/>
        <w:rPr>
          <w:rFonts w:ascii="Times New Roman" w:hAnsi="Times New Roman" w:cs="Times New Roman"/>
          <w:b/>
          <w:sz w:val="24"/>
          <w:szCs w:val="24"/>
        </w:rPr>
      </w:pPr>
      <w:r w:rsidRPr="00EB1009">
        <w:rPr>
          <w:rFonts w:ascii="Times New Roman" w:hAnsi="Times New Roman" w:cs="Times New Roman"/>
          <w:b/>
          <w:sz w:val="24"/>
          <w:szCs w:val="24"/>
        </w:rPr>
        <w:t xml:space="preserve"> </w:t>
      </w:r>
    </w:p>
    <w:sectPr w:rsidR="00EB1009" w:rsidRPr="00EB1009"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1856" w14:textId="77777777" w:rsidR="00A07FC5" w:rsidRDefault="00A07FC5">
      <w:pPr>
        <w:spacing w:after="0" w:line="240" w:lineRule="auto"/>
      </w:pPr>
      <w:r>
        <w:separator/>
      </w:r>
    </w:p>
  </w:endnote>
  <w:endnote w:type="continuationSeparator" w:id="0">
    <w:p w14:paraId="63834FE5" w14:textId="77777777" w:rsidR="00A07FC5" w:rsidRDefault="00A0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07E21AD7" w:rsidR="00CB16E8" w:rsidRDefault="00CB16E8">
        <w:pPr>
          <w:pStyle w:val="Footer"/>
          <w:jc w:val="center"/>
        </w:pPr>
        <w:r>
          <w:fldChar w:fldCharType="begin"/>
        </w:r>
        <w:r>
          <w:instrText xml:space="preserve"> PAGE   \* MERGEFORMAT </w:instrText>
        </w:r>
        <w:r>
          <w:fldChar w:fldCharType="separate"/>
        </w:r>
        <w:r w:rsidR="009B5F54">
          <w:rPr>
            <w:noProof/>
          </w:rPr>
          <w:t>14</w:t>
        </w:r>
        <w:r>
          <w:rPr>
            <w:noProof/>
          </w:rPr>
          <w:fldChar w:fldCharType="end"/>
        </w:r>
      </w:p>
    </w:sdtContent>
  </w:sdt>
  <w:p w14:paraId="54472604" w14:textId="10906CCF" w:rsidR="00CB16E8" w:rsidRPr="00A22244" w:rsidRDefault="00CB16E8">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CB16E8" w:rsidRPr="00A22244" w:rsidRDefault="00CB16E8">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D8E8" w14:textId="77777777" w:rsidR="00A07FC5" w:rsidRDefault="00A07FC5">
      <w:pPr>
        <w:spacing w:after="0" w:line="240" w:lineRule="auto"/>
      </w:pPr>
      <w:r>
        <w:separator/>
      </w:r>
    </w:p>
  </w:footnote>
  <w:footnote w:type="continuationSeparator" w:id="0">
    <w:p w14:paraId="1F554462" w14:textId="77777777" w:rsidR="00A07FC5" w:rsidRDefault="00A0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CB16E8" w:rsidRDefault="00CB16E8">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CB16E8" w:rsidRDefault="00CB16E8"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CB16E8" w:rsidRDefault="00CB16E8"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232D"/>
    <w:multiLevelType w:val="hybridMultilevel"/>
    <w:tmpl w:val="5C5C9E5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9"/>
  </w:num>
  <w:num w:numId="3">
    <w:abstractNumId w:val="15"/>
  </w:num>
  <w:num w:numId="4">
    <w:abstractNumId w:val="2"/>
  </w:num>
  <w:num w:numId="5">
    <w:abstractNumId w:val="5"/>
  </w:num>
  <w:num w:numId="6">
    <w:abstractNumId w:val="14"/>
  </w:num>
  <w:num w:numId="7">
    <w:abstractNumId w:val="9"/>
  </w:num>
  <w:num w:numId="8">
    <w:abstractNumId w:val="16"/>
  </w:num>
  <w:num w:numId="9">
    <w:abstractNumId w:val="17"/>
  </w:num>
  <w:num w:numId="10">
    <w:abstractNumId w:val="7"/>
  </w:num>
  <w:num w:numId="11">
    <w:abstractNumId w:val="12"/>
  </w:num>
  <w:num w:numId="12">
    <w:abstractNumId w:val="26"/>
  </w:num>
  <w:num w:numId="13">
    <w:abstractNumId w:val="20"/>
  </w:num>
  <w:num w:numId="14">
    <w:abstractNumId w:val="24"/>
  </w:num>
  <w:num w:numId="15">
    <w:abstractNumId w:val="3"/>
  </w:num>
  <w:num w:numId="16">
    <w:abstractNumId w:val="10"/>
  </w:num>
  <w:num w:numId="17">
    <w:abstractNumId w:val="0"/>
  </w:num>
  <w:num w:numId="18">
    <w:abstractNumId w:val="21"/>
  </w:num>
  <w:num w:numId="19">
    <w:abstractNumId w:val="22"/>
  </w:num>
  <w:num w:numId="20">
    <w:abstractNumId w:val="4"/>
  </w:num>
  <w:num w:numId="21">
    <w:abstractNumId w:val="18"/>
  </w:num>
  <w:num w:numId="22">
    <w:abstractNumId w:val="11"/>
  </w:num>
  <w:num w:numId="23">
    <w:abstractNumId w:val="13"/>
  </w:num>
  <w:num w:numId="24">
    <w:abstractNumId w:val="6"/>
  </w:num>
  <w:num w:numId="25">
    <w:abstractNumId w:val="23"/>
  </w:num>
  <w:num w:numId="26">
    <w:abstractNumId w:val="28"/>
  </w:num>
  <w:num w:numId="27">
    <w:abstractNumId w:val="25"/>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45B6C"/>
    <w:rsid w:val="00050582"/>
    <w:rsid w:val="00054308"/>
    <w:rsid w:val="000569EF"/>
    <w:rsid w:val="0006658A"/>
    <w:rsid w:val="0008674F"/>
    <w:rsid w:val="000A029F"/>
    <w:rsid w:val="000A5589"/>
    <w:rsid w:val="000A6942"/>
    <w:rsid w:val="000A6DA8"/>
    <w:rsid w:val="000B4D03"/>
    <w:rsid w:val="000B4EBD"/>
    <w:rsid w:val="000B6392"/>
    <w:rsid w:val="000C206D"/>
    <w:rsid w:val="000F60A6"/>
    <w:rsid w:val="000F61F3"/>
    <w:rsid w:val="001345C1"/>
    <w:rsid w:val="00134BC0"/>
    <w:rsid w:val="00141598"/>
    <w:rsid w:val="001419B8"/>
    <w:rsid w:val="00142502"/>
    <w:rsid w:val="00147AAB"/>
    <w:rsid w:val="00154B96"/>
    <w:rsid w:val="00161924"/>
    <w:rsid w:val="0016404A"/>
    <w:rsid w:val="0017250C"/>
    <w:rsid w:val="001817F2"/>
    <w:rsid w:val="001858C6"/>
    <w:rsid w:val="00186594"/>
    <w:rsid w:val="001B5FA5"/>
    <w:rsid w:val="001C33EF"/>
    <w:rsid w:val="001D24BF"/>
    <w:rsid w:val="001E0177"/>
    <w:rsid w:val="001E7977"/>
    <w:rsid w:val="001F2213"/>
    <w:rsid w:val="001F2599"/>
    <w:rsid w:val="001F53CA"/>
    <w:rsid w:val="00211EBD"/>
    <w:rsid w:val="00226DEC"/>
    <w:rsid w:val="00232352"/>
    <w:rsid w:val="002363DB"/>
    <w:rsid w:val="00236BA6"/>
    <w:rsid w:val="00240D56"/>
    <w:rsid w:val="002507F3"/>
    <w:rsid w:val="00250ED1"/>
    <w:rsid w:val="002547EE"/>
    <w:rsid w:val="00255DA0"/>
    <w:rsid w:val="00262763"/>
    <w:rsid w:val="00265584"/>
    <w:rsid w:val="00280682"/>
    <w:rsid w:val="0028313D"/>
    <w:rsid w:val="002A266D"/>
    <w:rsid w:val="002A5A28"/>
    <w:rsid w:val="002B0FA8"/>
    <w:rsid w:val="002B2940"/>
    <w:rsid w:val="002B45DB"/>
    <w:rsid w:val="002C7C24"/>
    <w:rsid w:val="00325E89"/>
    <w:rsid w:val="00332CF3"/>
    <w:rsid w:val="00334E43"/>
    <w:rsid w:val="0033559B"/>
    <w:rsid w:val="003622C5"/>
    <w:rsid w:val="003A39AE"/>
    <w:rsid w:val="003B5234"/>
    <w:rsid w:val="003B5CA1"/>
    <w:rsid w:val="003D4F3B"/>
    <w:rsid w:val="003D60BD"/>
    <w:rsid w:val="003E5A1F"/>
    <w:rsid w:val="003F0B6F"/>
    <w:rsid w:val="003F53C0"/>
    <w:rsid w:val="0040562D"/>
    <w:rsid w:val="00415A0F"/>
    <w:rsid w:val="00427C51"/>
    <w:rsid w:val="004325E1"/>
    <w:rsid w:val="004333E4"/>
    <w:rsid w:val="004375FB"/>
    <w:rsid w:val="00437936"/>
    <w:rsid w:val="0046183B"/>
    <w:rsid w:val="00465944"/>
    <w:rsid w:val="00465968"/>
    <w:rsid w:val="004671BC"/>
    <w:rsid w:val="0047300B"/>
    <w:rsid w:val="004904D7"/>
    <w:rsid w:val="00496A4A"/>
    <w:rsid w:val="004A1E40"/>
    <w:rsid w:val="004A5E59"/>
    <w:rsid w:val="004C0366"/>
    <w:rsid w:val="004C3237"/>
    <w:rsid w:val="004C7AB2"/>
    <w:rsid w:val="004D5637"/>
    <w:rsid w:val="004E1CA4"/>
    <w:rsid w:val="004E3B86"/>
    <w:rsid w:val="004F7A5C"/>
    <w:rsid w:val="005036A0"/>
    <w:rsid w:val="00521F9D"/>
    <w:rsid w:val="00525147"/>
    <w:rsid w:val="00526DAB"/>
    <w:rsid w:val="0053232F"/>
    <w:rsid w:val="00540D29"/>
    <w:rsid w:val="00543253"/>
    <w:rsid w:val="00554517"/>
    <w:rsid w:val="00564849"/>
    <w:rsid w:val="005818FF"/>
    <w:rsid w:val="00585BBF"/>
    <w:rsid w:val="00596A2A"/>
    <w:rsid w:val="005A5CEC"/>
    <w:rsid w:val="005C64DD"/>
    <w:rsid w:val="005D3A15"/>
    <w:rsid w:val="005F0F0A"/>
    <w:rsid w:val="006068A8"/>
    <w:rsid w:val="00620014"/>
    <w:rsid w:val="00626CFB"/>
    <w:rsid w:val="00637D14"/>
    <w:rsid w:val="0064373C"/>
    <w:rsid w:val="00664665"/>
    <w:rsid w:val="0067115B"/>
    <w:rsid w:val="00676159"/>
    <w:rsid w:val="006916EA"/>
    <w:rsid w:val="00692190"/>
    <w:rsid w:val="006D41D2"/>
    <w:rsid w:val="006E09BB"/>
    <w:rsid w:val="006F5ABB"/>
    <w:rsid w:val="006F6A4F"/>
    <w:rsid w:val="007005F8"/>
    <w:rsid w:val="0072093B"/>
    <w:rsid w:val="0073309B"/>
    <w:rsid w:val="00744179"/>
    <w:rsid w:val="00766F6D"/>
    <w:rsid w:val="007704FB"/>
    <w:rsid w:val="00781D34"/>
    <w:rsid w:val="00783844"/>
    <w:rsid w:val="007943D3"/>
    <w:rsid w:val="007C4572"/>
    <w:rsid w:val="007C5CF2"/>
    <w:rsid w:val="00800655"/>
    <w:rsid w:val="00817492"/>
    <w:rsid w:val="008410C2"/>
    <w:rsid w:val="00841190"/>
    <w:rsid w:val="0084288A"/>
    <w:rsid w:val="00854478"/>
    <w:rsid w:val="00856B25"/>
    <w:rsid w:val="0086609C"/>
    <w:rsid w:val="00887C95"/>
    <w:rsid w:val="008977B9"/>
    <w:rsid w:val="008A2F16"/>
    <w:rsid w:val="008A52B6"/>
    <w:rsid w:val="008B15B0"/>
    <w:rsid w:val="008E5CB0"/>
    <w:rsid w:val="008E7EAE"/>
    <w:rsid w:val="008F0652"/>
    <w:rsid w:val="00914191"/>
    <w:rsid w:val="00924932"/>
    <w:rsid w:val="00953AD6"/>
    <w:rsid w:val="0097088C"/>
    <w:rsid w:val="00974551"/>
    <w:rsid w:val="009758D8"/>
    <w:rsid w:val="00983322"/>
    <w:rsid w:val="00983799"/>
    <w:rsid w:val="00994FBB"/>
    <w:rsid w:val="009B5F54"/>
    <w:rsid w:val="009C106C"/>
    <w:rsid w:val="009C20D7"/>
    <w:rsid w:val="009C4557"/>
    <w:rsid w:val="009D0092"/>
    <w:rsid w:val="009D344A"/>
    <w:rsid w:val="009D610D"/>
    <w:rsid w:val="009E6D6D"/>
    <w:rsid w:val="009F10F8"/>
    <w:rsid w:val="00A06CAB"/>
    <w:rsid w:val="00A07ED9"/>
    <w:rsid w:val="00A07FC5"/>
    <w:rsid w:val="00A251EA"/>
    <w:rsid w:val="00A31CD7"/>
    <w:rsid w:val="00A33764"/>
    <w:rsid w:val="00A47BF5"/>
    <w:rsid w:val="00A607F1"/>
    <w:rsid w:val="00A92C21"/>
    <w:rsid w:val="00AB1292"/>
    <w:rsid w:val="00AB1330"/>
    <w:rsid w:val="00AC013D"/>
    <w:rsid w:val="00AE3925"/>
    <w:rsid w:val="00B01752"/>
    <w:rsid w:val="00B174D5"/>
    <w:rsid w:val="00B23A5F"/>
    <w:rsid w:val="00B359A2"/>
    <w:rsid w:val="00B44F9B"/>
    <w:rsid w:val="00B47D46"/>
    <w:rsid w:val="00B5452C"/>
    <w:rsid w:val="00B611AD"/>
    <w:rsid w:val="00B75C7D"/>
    <w:rsid w:val="00B760A8"/>
    <w:rsid w:val="00B855F0"/>
    <w:rsid w:val="00B950DC"/>
    <w:rsid w:val="00BA11F1"/>
    <w:rsid w:val="00BB1418"/>
    <w:rsid w:val="00BC1303"/>
    <w:rsid w:val="00BD606A"/>
    <w:rsid w:val="00BD7C0E"/>
    <w:rsid w:val="00BF2057"/>
    <w:rsid w:val="00C06802"/>
    <w:rsid w:val="00C116B5"/>
    <w:rsid w:val="00C12309"/>
    <w:rsid w:val="00C25406"/>
    <w:rsid w:val="00C305C8"/>
    <w:rsid w:val="00C33CF6"/>
    <w:rsid w:val="00C37BC0"/>
    <w:rsid w:val="00C57807"/>
    <w:rsid w:val="00C6062F"/>
    <w:rsid w:val="00C64B0A"/>
    <w:rsid w:val="00C66874"/>
    <w:rsid w:val="00C726D0"/>
    <w:rsid w:val="00C917BF"/>
    <w:rsid w:val="00C9736A"/>
    <w:rsid w:val="00CA7338"/>
    <w:rsid w:val="00CB16E8"/>
    <w:rsid w:val="00CB2D01"/>
    <w:rsid w:val="00CB5996"/>
    <w:rsid w:val="00CC7990"/>
    <w:rsid w:val="00CD28F5"/>
    <w:rsid w:val="00CE01CD"/>
    <w:rsid w:val="00CE2E29"/>
    <w:rsid w:val="00CF14A5"/>
    <w:rsid w:val="00CF5516"/>
    <w:rsid w:val="00D0106F"/>
    <w:rsid w:val="00D024A7"/>
    <w:rsid w:val="00D1394C"/>
    <w:rsid w:val="00D25E9B"/>
    <w:rsid w:val="00D326CD"/>
    <w:rsid w:val="00D46160"/>
    <w:rsid w:val="00D51AC8"/>
    <w:rsid w:val="00D52475"/>
    <w:rsid w:val="00D65D5E"/>
    <w:rsid w:val="00D74E38"/>
    <w:rsid w:val="00D92AC7"/>
    <w:rsid w:val="00D941FF"/>
    <w:rsid w:val="00DB1387"/>
    <w:rsid w:val="00DB219D"/>
    <w:rsid w:val="00DB7F59"/>
    <w:rsid w:val="00DC4FD2"/>
    <w:rsid w:val="00DD690F"/>
    <w:rsid w:val="00DE15F3"/>
    <w:rsid w:val="00DE2E22"/>
    <w:rsid w:val="00DE4035"/>
    <w:rsid w:val="00DF6196"/>
    <w:rsid w:val="00E05B57"/>
    <w:rsid w:val="00E108D8"/>
    <w:rsid w:val="00E37954"/>
    <w:rsid w:val="00E54553"/>
    <w:rsid w:val="00E5467A"/>
    <w:rsid w:val="00E76BCC"/>
    <w:rsid w:val="00EB1009"/>
    <w:rsid w:val="00EB2959"/>
    <w:rsid w:val="00EC69EA"/>
    <w:rsid w:val="00ED77DE"/>
    <w:rsid w:val="00EE16E9"/>
    <w:rsid w:val="00EE35B1"/>
    <w:rsid w:val="00EE6549"/>
    <w:rsid w:val="00EF28EE"/>
    <w:rsid w:val="00EF4857"/>
    <w:rsid w:val="00F020E5"/>
    <w:rsid w:val="00F03F5E"/>
    <w:rsid w:val="00F22692"/>
    <w:rsid w:val="00F22D82"/>
    <w:rsid w:val="00F320DF"/>
    <w:rsid w:val="00F327D0"/>
    <w:rsid w:val="00F541D5"/>
    <w:rsid w:val="00F607DB"/>
    <w:rsid w:val="00F662A7"/>
    <w:rsid w:val="00F716AC"/>
    <w:rsid w:val="00F845CC"/>
    <w:rsid w:val="00F926B8"/>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agency-resources/purchasing/approved-quasi-un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s://www.doa.la.gov/doa/osp/vendor-resources/"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1909-2C0C-4979-B53C-EB1DF2EE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5368</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4</cp:revision>
  <cp:lastPrinted>2023-07-18T16:00:00Z</cp:lastPrinted>
  <dcterms:created xsi:type="dcterms:W3CDTF">2024-03-18T14:25:00Z</dcterms:created>
  <dcterms:modified xsi:type="dcterms:W3CDTF">2024-04-01T17:59:00Z</dcterms:modified>
</cp:coreProperties>
</file>