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158750</wp:posOffset>
            </wp:positionH>
            <wp:positionV relativeFrom="page">
              <wp:posOffset>144780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C5472">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C547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C5472">
      <w:pPr>
        <w:pStyle w:val="Default"/>
        <w:ind w:left="90"/>
        <w:jc w:val="both"/>
        <w:rPr>
          <w:smallCaps/>
        </w:rPr>
      </w:pPr>
    </w:p>
    <w:p w:rsidR="0032706E" w:rsidRPr="00117192" w:rsidRDefault="0032706E" w:rsidP="001C547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C5472">
      <w:pPr>
        <w:spacing w:before="16" w:after="0" w:line="240" w:lineRule="auto"/>
        <w:jc w:val="both"/>
        <w:rPr>
          <w:rFonts w:ascii="Times New Roman" w:hAnsi="Times New Roman" w:cs="Times New Roman"/>
          <w:smallCaps/>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C5472">
      <w:pPr>
        <w:spacing w:before="16" w:after="0" w:line="240" w:lineRule="auto"/>
        <w:jc w:val="both"/>
        <w:rPr>
          <w:rFonts w:ascii="Times New Roman" w:hAnsi="Times New Roman" w:cs="Times New Roman"/>
          <w:b/>
          <w:sz w:val="24"/>
          <w:szCs w:val="24"/>
          <w:u w:val="single"/>
        </w:rPr>
      </w:pPr>
    </w:p>
    <w:p w:rsidR="0032706E" w:rsidRPr="00117192" w:rsidRDefault="0032706E" w:rsidP="001C547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C5472">
      <w:pPr>
        <w:pStyle w:val="Default"/>
        <w:ind w:left="90"/>
        <w:jc w:val="both"/>
      </w:pPr>
      <w:r w:rsidRPr="00117192">
        <w:tab/>
      </w:r>
    </w:p>
    <w:p w:rsidR="0032706E" w:rsidRPr="00117192" w:rsidRDefault="0032706E" w:rsidP="001C5472">
      <w:pPr>
        <w:pStyle w:val="Default"/>
        <w:ind w:left="90"/>
        <w:jc w:val="both"/>
      </w:pPr>
      <w:r w:rsidRPr="00117192">
        <w:tab/>
        <w:t xml:space="preserve">Office of State Procurement </w:t>
      </w:r>
    </w:p>
    <w:p w:rsidR="0032706E" w:rsidRPr="00117192" w:rsidRDefault="0032706E" w:rsidP="001C5472">
      <w:pPr>
        <w:pStyle w:val="Default"/>
        <w:ind w:left="90"/>
        <w:jc w:val="both"/>
      </w:pPr>
      <w:r w:rsidRPr="00117192">
        <w:tab/>
        <w:t xml:space="preserve">Claiborne Building, Suite 2-160 </w:t>
      </w:r>
    </w:p>
    <w:p w:rsidR="0032706E" w:rsidRPr="00117192" w:rsidRDefault="0032706E" w:rsidP="001C5472">
      <w:pPr>
        <w:pStyle w:val="Default"/>
        <w:ind w:left="90"/>
        <w:jc w:val="both"/>
      </w:pPr>
      <w:r w:rsidRPr="00117192">
        <w:tab/>
        <w:t xml:space="preserve">1201 North Third Street </w:t>
      </w:r>
    </w:p>
    <w:p w:rsidR="0032706E" w:rsidRPr="00117192" w:rsidRDefault="0032706E" w:rsidP="001C5472">
      <w:pPr>
        <w:pStyle w:val="Default"/>
        <w:ind w:left="90"/>
        <w:jc w:val="both"/>
      </w:pPr>
      <w:r w:rsidRPr="00117192">
        <w:tab/>
        <w:t>Baton Rouge, LA 70802</w:t>
      </w:r>
    </w:p>
    <w:p w:rsidR="0032706E" w:rsidRPr="00117192" w:rsidRDefault="0032706E" w:rsidP="001C5472">
      <w:pPr>
        <w:pStyle w:val="Default"/>
        <w:ind w:left="90"/>
        <w:jc w:val="both"/>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C5472">
      <w:pPr>
        <w:spacing w:before="16" w:after="0" w:line="240" w:lineRule="auto"/>
        <w:jc w:val="both"/>
        <w:rPr>
          <w:rFonts w:ascii="Times New Roman" w:hAnsi="Times New Roman" w:cs="Times New Roman"/>
          <w:sz w:val="24"/>
          <w:szCs w:val="24"/>
        </w:rPr>
      </w:pPr>
    </w:p>
    <w:p w:rsidR="0032706E" w:rsidRPr="00117192" w:rsidRDefault="0032706E" w:rsidP="001C547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1C5472">
      <w:pPr>
        <w:spacing w:before="16" w:after="0" w:line="240" w:lineRule="auto"/>
        <w:jc w:val="both"/>
        <w:rPr>
          <w:rFonts w:ascii="Times New Roman" w:hAnsi="Times New Roman" w:cs="Times New Roman"/>
          <w:sz w:val="24"/>
          <w:szCs w:val="24"/>
        </w:rPr>
      </w:pPr>
    </w:p>
    <w:p w:rsidR="00EF4802" w:rsidRPr="00117192" w:rsidRDefault="0032706E" w:rsidP="001C547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C547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C547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C547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C5472">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1C5472">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C547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C5472">
      <w:pPr>
        <w:spacing w:after="0" w:line="240" w:lineRule="auto"/>
        <w:ind w:left="540" w:right="184"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C5472">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C5472">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C547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C5472">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C5472">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1C5472">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C547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C5472">
      <w:pPr>
        <w:spacing w:after="0" w:line="240" w:lineRule="auto"/>
        <w:ind w:left="540" w:hanging="540"/>
        <w:jc w:val="both"/>
        <w:rPr>
          <w:rFonts w:ascii="Times New Roman" w:hAnsi="Times New Roman" w:cs="Times New Roman"/>
          <w:sz w:val="24"/>
          <w:szCs w:val="24"/>
        </w:rPr>
      </w:pPr>
    </w:p>
    <w:p w:rsidR="00C6062F"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C5472">
      <w:pPr>
        <w:widowControl/>
        <w:spacing w:after="0" w:line="240" w:lineRule="auto"/>
        <w:ind w:left="540" w:hanging="540"/>
        <w:jc w:val="both"/>
        <w:rPr>
          <w:rFonts w:ascii="Times New Roman" w:hAnsi="Times New Roman" w:cs="Times New Roman"/>
          <w:sz w:val="24"/>
          <w:szCs w:val="24"/>
        </w:rPr>
      </w:pPr>
    </w:p>
    <w:p w:rsidR="009D344A"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C547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C5472">
      <w:pPr>
        <w:widowControl/>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C5472">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1C5472">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C5472">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1C5472">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161C32" w:rsidRPr="00161C32" w:rsidRDefault="00161C32" w:rsidP="001C5472">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117192" w:rsidRDefault="000976C7" w:rsidP="001C5472">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C547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C547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C5472">
      <w:pPr>
        <w:pStyle w:val="ListParagraph"/>
        <w:widowControl/>
        <w:spacing w:after="0" w:line="240" w:lineRule="auto"/>
        <w:ind w:left="540"/>
        <w:jc w:val="both"/>
        <w:rPr>
          <w:rFonts w:ascii="Times New Roman" w:eastAsia="PMingLiU" w:hAnsi="Times New Roman" w:cs="Times New Roman"/>
          <w:sz w:val="24"/>
          <w:szCs w:val="24"/>
          <w:lang w:eastAsia="zh-TW"/>
        </w:rPr>
      </w:pPr>
    </w:p>
    <w:p w:rsidR="00D7441A"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000976C7" w:rsidRPr="00117192">
        <w:rPr>
          <w:rFonts w:ascii="Times New Roman" w:hAnsi="Times New Roman" w:cs="Times New Roman"/>
          <w:b/>
          <w:sz w:val="24"/>
          <w:szCs w:val="24"/>
        </w:rPr>
        <w:tab/>
      </w:r>
      <w:r w:rsidR="00D7441A" w:rsidRPr="00117192">
        <w:rPr>
          <w:rFonts w:ascii="Times New Roman" w:hAnsi="Times New Roman" w:cs="Times New Roman"/>
          <w:b/>
          <w:sz w:val="24"/>
          <w:szCs w:val="24"/>
        </w:rPr>
        <w:t>Contract Period:</w:t>
      </w:r>
    </w:p>
    <w:p w:rsidR="0032706E" w:rsidRPr="00117192" w:rsidRDefault="00D7441A"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427E75">
        <w:rPr>
          <w:rFonts w:ascii="Times New Roman" w:hAnsi="Times New Roman" w:cs="Times New Roman"/>
          <w:sz w:val="24"/>
          <w:szCs w:val="24"/>
        </w:rPr>
        <w:t xml:space="preserve">r the period beginning date of award </w:t>
      </w:r>
      <w:r w:rsidR="00662931" w:rsidRPr="00117192">
        <w:rPr>
          <w:rFonts w:ascii="Times New Roman" w:hAnsi="Times New Roman" w:cs="Times New Roman"/>
          <w:sz w:val="24"/>
          <w:szCs w:val="24"/>
        </w:rPr>
        <w:t>and ending June 30</w:t>
      </w:r>
      <w:r w:rsidR="00427E75">
        <w:rPr>
          <w:rFonts w:ascii="Times New Roman" w:hAnsi="Times New Roman" w:cs="Times New Roman"/>
          <w:sz w:val="24"/>
          <w:szCs w:val="24"/>
        </w:rPr>
        <w:t>, 2025.</w:t>
      </w:r>
    </w:p>
    <w:p w:rsidR="000976C7" w:rsidRPr="00117192" w:rsidRDefault="000976C7" w:rsidP="001C5472">
      <w:pPr>
        <w:pStyle w:val="ListParagraph"/>
        <w:spacing w:after="0" w:line="240" w:lineRule="auto"/>
        <w:ind w:left="0"/>
        <w:jc w:val="both"/>
        <w:rPr>
          <w:rFonts w:ascii="Times New Roman" w:hAnsi="Times New Roman" w:cs="Times New Roman"/>
          <w:sz w:val="24"/>
          <w:szCs w:val="24"/>
        </w:rPr>
      </w:pPr>
    </w:p>
    <w:p w:rsidR="000976C7"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000976C7"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t>Estimated Quantity:</w:t>
      </w:r>
    </w:p>
    <w:p w:rsidR="00483E2D" w:rsidRDefault="000976C7" w:rsidP="001C547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C5472">
      <w:pPr>
        <w:pStyle w:val="ListParagraph"/>
        <w:spacing w:after="0" w:line="240" w:lineRule="auto"/>
        <w:ind w:left="0"/>
        <w:jc w:val="both"/>
        <w:rPr>
          <w:rFonts w:ascii="Times New Roman" w:hAnsi="Times New Roman" w:cs="Times New Roman"/>
          <w:sz w:val="24"/>
          <w:szCs w:val="24"/>
        </w:rPr>
      </w:pPr>
    </w:p>
    <w:p w:rsidR="00483E2D" w:rsidRPr="00117192" w:rsidRDefault="00161C32" w:rsidP="001C54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483E2D" w:rsidRPr="00117192">
        <w:rPr>
          <w:rFonts w:ascii="Times New Roman" w:hAnsi="Times New Roman" w:cs="Times New Roman"/>
          <w:b/>
          <w:sz w:val="24"/>
          <w:szCs w:val="24"/>
        </w:rPr>
        <w:t>.</w:t>
      </w:r>
      <w:r w:rsidR="00483E2D" w:rsidRPr="00117192">
        <w:rPr>
          <w:rFonts w:ascii="Times New Roman" w:hAnsi="Times New Roman" w:cs="Times New Roman"/>
          <w:b/>
          <w:sz w:val="24"/>
          <w:szCs w:val="24"/>
        </w:rPr>
        <w:tab/>
        <w:t>Renewal Option:</w:t>
      </w:r>
    </w:p>
    <w:p w:rsidR="00117192" w:rsidRDefault="00117192" w:rsidP="001C547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5113D" w:rsidRDefault="0035113D" w:rsidP="001C5472">
      <w:pPr>
        <w:spacing w:after="0" w:line="240" w:lineRule="auto"/>
        <w:ind w:left="720"/>
        <w:contextualSpacing/>
        <w:jc w:val="both"/>
        <w:rPr>
          <w:rFonts w:ascii="Times New Roman" w:hAnsi="Times New Roman" w:cs="Times New Roman"/>
          <w:sz w:val="24"/>
          <w:szCs w:val="24"/>
        </w:rPr>
      </w:pPr>
    </w:p>
    <w:p w:rsidR="0035113D" w:rsidRPr="0035113D" w:rsidRDefault="0035113D" w:rsidP="001C547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161C32">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1C547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161C32" w:rsidRDefault="00161C32" w:rsidP="001C5472">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C547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C547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C547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C547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C547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C547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C547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C547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C547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C547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C547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C547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C547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C547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C547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C547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C547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C547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C547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C547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3514A2" w:rsidRPr="003514A2" w:rsidRDefault="00161C32" w:rsidP="003514A2">
      <w:pPr>
        <w:widowControl/>
        <w:numPr>
          <w:ilvl w:val="0"/>
          <w:numId w:val="24"/>
        </w:numPr>
        <w:spacing w:after="0" w:line="240" w:lineRule="auto"/>
        <w:ind w:left="1800"/>
        <w:contextualSpacing/>
        <w:jc w:val="both"/>
        <w:rPr>
          <w:rFonts w:ascii="Times New Roman" w:hAnsi="Times New Roman" w:cs="Times New Roman"/>
          <w:bCs/>
          <w:sz w:val="24"/>
          <w:szCs w:val="24"/>
        </w:rPr>
      </w:pPr>
      <w:r w:rsidRPr="00161C32">
        <w:rPr>
          <w:rFonts w:ascii="Times New Roman" w:eastAsia="PMingLiU" w:hAnsi="Times New Roman" w:cs="Times New Roman"/>
          <w:sz w:val="24"/>
          <w:szCs w:val="24"/>
          <w:lang w:eastAsia="zh-TW"/>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t>
      </w:r>
      <w:r w:rsidRPr="00161C32">
        <w:rPr>
          <w:rFonts w:ascii="Times New Roman" w:eastAsia="PMingLiU" w:hAnsi="Times New Roman" w:cs="Times New Roman"/>
          <w:sz w:val="24"/>
          <w:szCs w:val="24"/>
          <w:lang w:eastAsia="zh-TW"/>
        </w:rPr>
        <w:lastRenderedPageBreak/>
        <w:t>with the Contractor in the defense of claims, but this shall not affect the Contractor’s responsibility for the handling of and expenses for all claims.</w:t>
      </w:r>
    </w:p>
    <w:p w:rsidR="003514A2" w:rsidRDefault="003514A2" w:rsidP="003514A2">
      <w:pPr>
        <w:pStyle w:val="ListParagraph"/>
        <w:spacing w:after="0"/>
        <w:rPr>
          <w:rFonts w:ascii="Times New Roman" w:hAnsi="Times New Roman" w:cs="Times New Roman"/>
          <w:bCs/>
          <w:sz w:val="24"/>
          <w:szCs w:val="24"/>
        </w:rPr>
      </w:pPr>
    </w:p>
    <w:p w:rsidR="0018369A" w:rsidRPr="0018369A" w:rsidRDefault="0018369A" w:rsidP="0018369A">
      <w:pPr>
        <w:contextualSpacing/>
        <w:rPr>
          <w:rFonts w:ascii="Times New Roman" w:hAnsi="Times New Roman"/>
          <w:b/>
          <w:sz w:val="24"/>
          <w:szCs w:val="24"/>
        </w:rPr>
      </w:pPr>
      <w:r w:rsidRPr="0018369A">
        <w:rPr>
          <w:rFonts w:ascii="Times New Roman" w:hAnsi="Times New Roman"/>
          <w:b/>
          <w:bCs/>
          <w:sz w:val="24"/>
          <w:szCs w:val="24"/>
        </w:rPr>
        <w:t>17.</w:t>
      </w:r>
      <w:r w:rsidRPr="0018369A">
        <w:rPr>
          <w:rFonts w:ascii="Times New Roman" w:hAnsi="Times New Roman"/>
          <w:b/>
          <w:bCs/>
          <w:sz w:val="24"/>
          <w:szCs w:val="24"/>
        </w:rPr>
        <w:tab/>
      </w:r>
      <w:r w:rsidRPr="0018369A">
        <w:rPr>
          <w:rFonts w:ascii="Times New Roman" w:hAnsi="Times New Roman"/>
          <w:b/>
          <w:sz w:val="24"/>
          <w:szCs w:val="24"/>
        </w:rPr>
        <w:t>New FY Delivery:</w:t>
      </w:r>
    </w:p>
    <w:p w:rsidR="0018369A" w:rsidRPr="0018369A" w:rsidRDefault="0018369A" w:rsidP="0018369A">
      <w:pPr>
        <w:ind w:left="720"/>
        <w:contextualSpacing/>
        <w:rPr>
          <w:rFonts w:ascii="Times New Roman" w:hAnsi="Times New Roman"/>
          <w:sz w:val="24"/>
          <w:szCs w:val="24"/>
        </w:rPr>
      </w:pPr>
      <w:r w:rsidRPr="0018369A">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18369A" w:rsidRPr="0018369A" w:rsidRDefault="0018369A" w:rsidP="0018369A">
      <w:pPr>
        <w:ind w:left="720"/>
        <w:contextualSpacing/>
        <w:rPr>
          <w:rFonts w:ascii="Times New Roman" w:hAnsi="Times New Roman"/>
          <w:sz w:val="24"/>
          <w:szCs w:val="24"/>
        </w:rPr>
      </w:pPr>
    </w:p>
    <w:p w:rsidR="0018369A" w:rsidRPr="0018369A" w:rsidRDefault="0018369A" w:rsidP="0018369A">
      <w:pPr>
        <w:spacing w:after="0"/>
        <w:rPr>
          <w:rFonts w:ascii="Times New Roman" w:eastAsia="Calibri" w:hAnsi="Times New Roman"/>
          <w:b/>
          <w:sz w:val="24"/>
          <w:szCs w:val="24"/>
        </w:rPr>
      </w:pPr>
      <w:r w:rsidRPr="0018369A">
        <w:rPr>
          <w:rFonts w:ascii="Times New Roman" w:hAnsi="Times New Roman"/>
          <w:b/>
          <w:bCs/>
          <w:sz w:val="24"/>
          <w:szCs w:val="24"/>
        </w:rPr>
        <w:t>18.</w:t>
      </w:r>
      <w:r w:rsidRPr="0018369A">
        <w:rPr>
          <w:rFonts w:ascii="Times New Roman" w:hAnsi="Times New Roman"/>
          <w:b/>
          <w:bCs/>
          <w:sz w:val="24"/>
          <w:szCs w:val="24"/>
        </w:rPr>
        <w:tab/>
      </w:r>
      <w:r w:rsidRPr="0018369A">
        <w:rPr>
          <w:rFonts w:ascii="Times New Roman" w:eastAsia="Calibri" w:hAnsi="Times New Roman"/>
          <w:b/>
          <w:sz w:val="24"/>
          <w:szCs w:val="24"/>
        </w:rPr>
        <w:t>Medical / Potentially Infectious Waste Transporter Permit Required:</w:t>
      </w:r>
    </w:p>
    <w:p w:rsidR="0018369A" w:rsidRPr="0018369A" w:rsidRDefault="0018369A" w:rsidP="0018369A">
      <w:pPr>
        <w:spacing w:after="0"/>
        <w:ind w:left="720"/>
        <w:rPr>
          <w:rFonts w:ascii="Times New Roman" w:eastAsia="Calibri" w:hAnsi="Times New Roman"/>
          <w:sz w:val="24"/>
          <w:szCs w:val="24"/>
        </w:rPr>
      </w:pPr>
      <w:r w:rsidRPr="0018369A">
        <w:rPr>
          <w:rFonts w:ascii="Times New Roman" w:eastAsia="Calibri" w:hAnsi="Times New Roman"/>
          <w:sz w:val="24"/>
          <w:szCs w:val="24"/>
        </w:rPr>
        <w:t>Contractor must be permitted as an infectious waste transporter by the Louisiana Department of Health and Hospitals.  Contractor should furnish permit number with their bid, but must prior to award.</w:t>
      </w:r>
    </w:p>
    <w:p w:rsidR="0018369A" w:rsidRPr="0018369A" w:rsidRDefault="0018369A" w:rsidP="0018369A">
      <w:pPr>
        <w:spacing w:after="0"/>
        <w:ind w:left="720"/>
        <w:rPr>
          <w:rFonts w:ascii="Times New Roman" w:eastAsia="Calibri" w:hAnsi="Times New Roman"/>
          <w:sz w:val="24"/>
          <w:szCs w:val="24"/>
        </w:rPr>
      </w:pPr>
    </w:p>
    <w:p w:rsidR="0018369A" w:rsidRPr="0018369A" w:rsidRDefault="0018369A" w:rsidP="0018369A">
      <w:pPr>
        <w:spacing w:after="0"/>
        <w:ind w:left="720"/>
        <w:rPr>
          <w:rFonts w:ascii="Times New Roman" w:eastAsia="Calibri" w:hAnsi="Times New Roman"/>
          <w:sz w:val="24"/>
          <w:szCs w:val="24"/>
        </w:rPr>
      </w:pPr>
      <w:r w:rsidRPr="0018369A">
        <w:rPr>
          <w:rFonts w:ascii="Times New Roman" w:eastAsia="Calibri" w:hAnsi="Times New Roman"/>
          <w:sz w:val="24"/>
          <w:szCs w:val="24"/>
        </w:rPr>
        <w:t>Contractor Permit No.:______________________</w:t>
      </w:r>
    </w:p>
    <w:p w:rsidR="0018369A" w:rsidRPr="0018369A" w:rsidRDefault="0018369A" w:rsidP="0018369A">
      <w:pPr>
        <w:spacing w:after="0"/>
        <w:rPr>
          <w:rFonts w:ascii="Times New Roman" w:hAnsi="Times New Roman"/>
          <w:b/>
          <w:bCs/>
          <w:sz w:val="24"/>
          <w:szCs w:val="24"/>
        </w:rPr>
      </w:pPr>
    </w:p>
    <w:p w:rsidR="0018369A" w:rsidRPr="0018369A" w:rsidRDefault="0018369A" w:rsidP="0018369A">
      <w:pPr>
        <w:spacing w:after="0"/>
        <w:rPr>
          <w:rFonts w:ascii="Times New Roman" w:eastAsia="Calibri" w:hAnsi="Times New Roman"/>
          <w:b/>
          <w:sz w:val="24"/>
          <w:szCs w:val="24"/>
        </w:rPr>
      </w:pPr>
      <w:r w:rsidRPr="0018369A">
        <w:rPr>
          <w:rFonts w:ascii="Times New Roman" w:hAnsi="Times New Roman"/>
          <w:b/>
          <w:bCs/>
          <w:sz w:val="24"/>
          <w:szCs w:val="24"/>
        </w:rPr>
        <w:t>19.</w:t>
      </w:r>
      <w:r w:rsidRPr="0018369A">
        <w:rPr>
          <w:rFonts w:ascii="Times New Roman" w:hAnsi="Times New Roman"/>
          <w:b/>
          <w:bCs/>
          <w:sz w:val="24"/>
          <w:szCs w:val="24"/>
        </w:rPr>
        <w:tab/>
      </w:r>
      <w:r w:rsidRPr="0018369A">
        <w:rPr>
          <w:rFonts w:ascii="Times New Roman" w:eastAsia="Calibri" w:hAnsi="Times New Roman"/>
          <w:b/>
          <w:sz w:val="24"/>
          <w:szCs w:val="24"/>
        </w:rPr>
        <w:t>Medical / Potentially Infectious Waste Disposal:</w:t>
      </w:r>
    </w:p>
    <w:p w:rsidR="0018369A" w:rsidRPr="0018369A" w:rsidRDefault="0018369A" w:rsidP="0018369A">
      <w:pPr>
        <w:ind w:left="720"/>
        <w:contextualSpacing/>
        <w:rPr>
          <w:rFonts w:ascii="Times New Roman" w:eastAsia="Calibri" w:hAnsi="Times New Roman"/>
          <w:sz w:val="24"/>
          <w:szCs w:val="24"/>
        </w:rPr>
      </w:pPr>
      <w:r w:rsidRPr="0018369A">
        <w:rPr>
          <w:rFonts w:ascii="Times New Roman" w:eastAsia="Calibri" w:hAnsi="Times New Roman"/>
          <w:sz w:val="24"/>
          <w:szCs w:val="24"/>
        </w:rPr>
        <w:t>Pick up containers (disposable or reusable) and red bags that are specifically designed for bio-medical waste are to be supplied by the Contractor.  Containers must meet all requirements and regulations of the Louisiana Department of Health (LDH), Louisiana Department of Environmental Quality (DEQ), and the Environmental Protection Agency (EPA) in reference to disposal of potentially infectious biomedical waste, and must be acceptable to the Infection Control Officer at the Agency.</w:t>
      </w:r>
    </w:p>
    <w:p w:rsidR="0018369A" w:rsidRPr="0018369A" w:rsidRDefault="0018369A" w:rsidP="0018369A">
      <w:pPr>
        <w:spacing w:after="0"/>
        <w:ind w:left="720"/>
        <w:contextualSpacing/>
        <w:rPr>
          <w:rFonts w:ascii="Times New Roman" w:eastAsia="Calibri" w:hAnsi="Times New Roman"/>
          <w:sz w:val="24"/>
          <w:szCs w:val="24"/>
        </w:rPr>
      </w:pPr>
    </w:p>
    <w:p w:rsidR="0018369A" w:rsidRPr="0018369A" w:rsidRDefault="0018369A" w:rsidP="0018369A">
      <w:pPr>
        <w:ind w:left="720"/>
        <w:contextualSpacing/>
        <w:rPr>
          <w:rFonts w:ascii="Times New Roman" w:eastAsia="Calibri" w:hAnsi="Times New Roman"/>
          <w:sz w:val="24"/>
          <w:szCs w:val="24"/>
        </w:rPr>
      </w:pPr>
      <w:r w:rsidRPr="0018369A">
        <w:rPr>
          <w:rFonts w:ascii="Times New Roman" w:eastAsia="Calibri" w:hAnsi="Times New Roman"/>
          <w:sz w:val="24"/>
          <w:szCs w:val="24"/>
        </w:rPr>
        <w:t xml:space="preserve">All containers supplied must be appropriately labeled.  Labels must be water resistant, legible and readily visible.  If reusable containers are supplied, Contractor is responsible for cleaning containers prior to their return to the Agency for reuse.  </w:t>
      </w:r>
    </w:p>
    <w:p w:rsidR="0018369A" w:rsidRPr="0018369A" w:rsidRDefault="0018369A" w:rsidP="0018369A">
      <w:pPr>
        <w:ind w:left="720"/>
        <w:contextualSpacing/>
        <w:rPr>
          <w:rFonts w:ascii="Times New Roman" w:eastAsia="Calibri" w:hAnsi="Times New Roman"/>
          <w:sz w:val="24"/>
          <w:szCs w:val="24"/>
        </w:rPr>
      </w:pPr>
    </w:p>
    <w:p w:rsidR="0018369A" w:rsidRPr="0018369A" w:rsidRDefault="0018369A" w:rsidP="0018369A">
      <w:pPr>
        <w:ind w:left="720"/>
        <w:contextualSpacing/>
        <w:rPr>
          <w:rFonts w:ascii="Times New Roman" w:eastAsia="Calibri" w:hAnsi="Times New Roman"/>
          <w:sz w:val="24"/>
          <w:szCs w:val="24"/>
        </w:rPr>
      </w:pPr>
      <w:r w:rsidRPr="0018369A">
        <w:rPr>
          <w:rFonts w:ascii="Times New Roman" w:eastAsia="Calibri" w:hAnsi="Times New Roman"/>
          <w:sz w:val="24"/>
          <w:szCs w:val="24"/>
        </w:rPr>
        <w:t>The Agency will package and secure the appropriate materials in the red bags, which will be placed in the containers.  The Contractor shall be responsible for picking up the containers of potentially infectious waste from the Agency’s storage site and loading the containers into their transportation vehicle.</w:t>
      </w:r>
    </w:p>
    <w:p w:rsidR="0018369A" w:rsidRPr="0018369A" w:rsidRDefault="0018369A" w:rsidP="0018369A">
      <w:pPr>
        <w:ind w:left="720"/>
        <w:contextualSpacing/>
        <w:rPr>
          <w:rFonts w:ascii="Times New Roman" w:eastAsia="Calibri" w:hAnsi="Times New Roman"/>
          <w:sz w:val="24"/>
          <w:szCs w:val="24"/>
        </w:rPr>
      </w:pPr>
    </w:p>
    <w:p w:rsidR="0018369A" w:rsidRPr="0018369A" w:rsidRDefault="0018369A" w:rsidP="0018369A">
      <w:pPr>
        <w:ind w:left="720"/>
        <w:contextualSpacing/>
        <w:rPr>
          <w:rFonts w:ascii="Times New Roman" w:eastAsia="Calibri" w:hAnsi="Times New Roman"/>
          <w:sz w:val="24"/>
          <w:szCs w:val="24"/>
        </w:rPr>
      </w:pPr>
      <w:r w:rsidRPr="0018369A">
        <w:rPr>
          <w:rFonts w:ascii="Times New Roman" w:eastAsia="Calibri" w:hAnsi="Times New Roman"/>
          <w:sz w:val="24"/>
          <w:szCs w:val="24"/>
        </w:rPr>
        <w:t>The Contractor will assure liability of the transportation and disposal of the potentially infectious waste, with a manifest detailing date of pickup and date and manner of disposal.  The Contractor must secure permits and be in full compliance with LDH, DEQ, and EPA in order to transport and dispose of potentially infectious waste from the Agency.  The Agency must be furnished copies of the appropriate permits upon request.</w:t>
      </w:r>
    </w:p>
    <w:p w:rsidR="00427E75" w:rsidRPr="0018369A" w:rsidRDefault="00427E75" w:rsidP="0018369A">
      <w:pPr>
        <w:spacing w:after="0"/>
        <w:rPr>
          <w:rFonts w:ascii="Times New Roman" w:hAnsi="Times New Roman" w:cs="Times New Roman"/>
          <w:bCs/>
          <w:sz w:val="24"/>
          <w:szCs w:val="24"/>
        </w:rPr>
      </w:pPr>
    </w:p>
    <w:p w:rsidR="003514A2" w:rsidRDefault="003514A2" w:rsidP="003514A2">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023A76" w:rsidRPr="0018369A" w:rsidRDefault="003514A2" w:rsidP="0018369A">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w:t>
      </w:r>
      <w:r w:rsidR="00A678BB">
        <w:rPr>
          <w:rFonts w:ascii="Times New Roman" w:hAnsi="Times New Roman" w:cs="Times New Roman"/>
          <w:sz w:val="24"/>
          <w:szCs w:val="24"/>
        </w:rPr>
        <w:t>rocurement Analyst:  Natalie Verbois</w:t>
      </w:r>
      <w:r w:rsidR="0018369A">
        <w:rPr>
          <w:rFonts w:ascii="Times New Roman" w:hAnsi="Times New Roman" w:cs="Times New Roman"/>
          <w:sz w:val="24"/>
          <w:szCs w:val="24"/>
        </w:rPr>
        <w:t>, P</w:t>
      </w:r>
      <w:r>
        <w:rPr>
          <w:rFonts w:ascii="Times New Roman" w:hAnsi="Times New Roman" w:cs="Times New Roman"/>
          <w:sz w:val="24"/>
          <w:szCs w:val="24"/>
        </w:rPr>
        <w:t xml:space="preserve">hone: </w:t>
      </w:r>
      <w:r w:rsidR="0018369A">
        <w:rPr>
          <w:rFonts w:ascii="Times New Roman" w:hAnsi="Times New Roman" w:cs="Times New Roman"/>
          <w:sz w:val="24"/>
          <w:szCs w:val="24"/>
        </w:rPr>
        <w:t xml:space="preserve">225-342-1038, Email:  </w:t>
      </w:r>
      <w:hyperlink r:id="rId11" w:history="1">
        <w:r w:rsidR="0018369A" w:rsidRPr="005E1920">
          <w:rPr>
            <w:rStyle w:val="Hyperlink"/>
            <w:rFonts w:ascii="Times New Roman" w:hAnsi="Times New Roman" w:cs="Times New Roman"/>
            <w:sz w:val="24"/>
            <w:szCs w:val="24"/>
          </w:rPr>
          <w:t>Natalie.Verbois2</w:t>
        </w:r>
        <w:bookmarkStart w:id="0" w:name="_GoBack"/>
        <w:bookmarkEnd w:id="0"/>
        <w:r w:rsidR="0018369A" w:rsidRPr="005E1920">
          <w:rPr>
            <w:rStyle w:val="Hyperlink"/>
            <w:rFonts w:ascii="Times New Roman" w:hAnsi="Times New Roman" w:cs="Times New Roman"/>
            <w:sz w:val="24"/>
            <w:szCs w:val="24"/>
          </w:rPr>
          <w:t>@la.gov</w:t>
        </w:r>
      </w:hyperlink>
      <w:r w:rsidR="0018369A">
        <w:rPr>
          <w:rFonts w:ascii="Times New Roman" w:hAnsi="Times New Roman" w:cs="Times New Roman"/>
          <w:sz w:val="24"/>
          <w:szCs w:val="24"/>
        </w:rPr>
        <w:t xml:space="preserve"> </w:t>
      </w:r>
    </w:p>
    <w:sectPr w:rsidR="00023A76" w:rsidRPr="0018369A"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A7" w:rsidRDefault="00C963A7">
      <w:pPr>
        <w:spacing w:after="0" w:line="240" w:lineRule="auto"/>
      </w:pPr>
      <w:r>
        <w:separator/>
      </w:r>
    </w:p>
  </w:endnote>
  <w:endnote w:type="continuationSeparator" w:id="0">
    <w:p w:rsidR="00C963A7" w:rsidRDefault="00C9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678B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678BB">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A7" w:rsidRDefault="00C963A7">
      <w:pPr>
        <w:spacing w:after="0" w:line="240" w:lineRule="auto"/>
      </w:pPr>
      <w:r>
        <w:separator/>
      </w:r>
    </w:p>
  </w:footnote>
  <w:footnote w:type="continuationSeparator" w:id="0">
    <w:p w:rsidR="00C963A7" w:rsidRDefault="00C9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427E75">
      <w:rPr>
        <w:rFonts w:ascii="Times New Roman" w:hAnsi="Times New Roman" w:cs="Times New Roman"/>
        <w:sz w:val="24"/>
        <w:szCs w:val="24"/>
      </w:rPr>
      <w:t xml:space="preserve"> 3000023177</w:t>
    </w:r>
    <w:r w:rsidRPr="001856F5">
      <w:rPr>
        <w:rFonts w:ascii="Times New Roman" w:hAnsi="Times New Roman" w:cs="Times New Roman"/>
        <w:sz w:val="24"/>
        <w:szCs w:val="24"/>
      </w:rPr>
      <w:tab/>
    </w:r>
    <w:r w:rsidR="00427E75">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427E75">
      <w:rPr>
        <w:rFonts w:ascii="Times New Roman" w:hAnsi="Times New Roman" w:cs="Times New Roman"/>
        <w:sz w:val="24"/>
        <w:szCs w:val="24"/>
      </w:rPr>
      <w:t xml:space="preserve"> *Fax Bid*Medical Waste Removal–DOC-DWCC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A7"/>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47E0"/>
    <w:rsid w:val="001817F2"/>
    <w:rsid w:val="0018369A"/>
    <w:rsid w:val="001856F5"/>
    <w:rsid w:val="001858C6"/>
    <w:rsid w:val="00185B5E"/>
    <w:rsid w:val="00186594"/>
    <w:rsid w:val="001A54CE"/>
    <w:rsid w:val="001B5FA5"/>
    <w:rsid w:val="001C33EF"/>
    <w:rsid w:val="001C494C"/>
    <w:rsid w:val="001C5472"/>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514A2"/>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27E75"/>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8BB"/>
    <w:rsid w:val="00A67B00"/>
    <w:rsid w:val="00A87336"/>
    <w:rsid w:val="00A91DF0"/>
    <w:rsid w:val="00A92C21"/>
    <w:rsid w:val="00AA0ADC"/>
    <w:rsid w:val="00AB1292"/>
    <w:rsid w:val="00AB1330"/>
    <w:rsid w:val="00AC013D"/>
    <w:rsid w:val="00AC57CE"/>
    <w:rsid w:val="00AC5E65"/>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63A7"/>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3562C4"/>
  <w15:chartTrackingRefBased/>
  <w15:docId w15:val="{4D2EC988-8B15-4058-86F6-D9F5C2D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62F2-BB6F-496D-84B3-9B0AE022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19</TotalTime>
  <Pages>8</Pages>
  <Words>3121</Words>
  <Characters>17816</Characters>
  <Application>Microsoft Office Word</Application>
  <DocSecurity>0</DocSecurity>
  <Lines>379</Lines>
  <Paragraphs>148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2022-08-17T21:16:00Z</cp:lastPrinted>
  <dcterms:created xsi:type="dcterms:W3CDTF">2024-06-12T20:34:00Z</dcterms:created>
  <dcterms:modified xsi:type="dcterms:W3CDTF">2024-06-13T15:11:00Z</dcterms:modified>
</cp:coreProperties>
</file>